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8A601E" w:rsidP="0017019C">
      <w:pPr>
        <w:jc w:val="center"/>
        <w:rPr>
          <w:b/>
          <w:bCs/>
          <w:color w:val="000000" w:themeColor="text1"/>
          <w:sz w:val="16"/>
          <w:szCs w:val="16"/>
        </w:rPr>
      </w:pPr>
      <w:r w:rsidRPr="008A601E">
        <w:rPr>
          <w:b/>
          <w:bCs/>
          <w:sz w:val="40"/>
          <w:szCs w:val="40"/>
        </w:rPr>
        <w:t>Tulkarm</w:t>
      </w:r>
      <w:r>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C72287" w:rsidRPr="003C25B4" w:rsidRDefault="00C72287" w:rsidP="00C72287">
            <w:pPr>
              <w:jc w:val="right"/>
              <w:rPr>
                <w:b/>
                <w:bCs/>
                <w:color w:val="000000" w:themeColor="text1"/>
                <w:sz w:val="28"/>
                <w:szCs w:val="28"/>
              </w:rPr>
            </w:pPr>
            <w:r w:rsidRPr="002174FC">
              <w:rPr>
                <w:b/>
                <w:bCs/>
                <w:color w:val="000000" w:themeColor="text1"/>
                <w:sz w:val="28"/>
                <w:szCs w:val="28"/>
              </w:rPr>
              <w:t>December</w:t>
            </w:r>
            <w:r w:rsidRPr="003C25B4">
              <w:rPr>
                <w:b/>
                <w:bCs/>
                <w:color w:val="000000" w:themeColor="text1"/>
                <w:sz w:val="28"/>
                <w:szCs w:val="28"/>
              </w:rPr>
              <w:t xml:space="preserve"> , </w:t>
            </w:r>
            <w:r>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3D7B1E">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897F79" w:rsidRDefault="00897F79"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C72287" w:rsidRPr="002174FC" w:rsidRDefault="00C72287" w:rsidP="00C72287">
      <w:pPr>
        <w:snapToGrid w:val="0"/>
        <w:jc w:val="lowKashida"/>
        <w:rPr>
          <w:rFonts w:cs="Traditional Arabic"/>
          <w:color w:val="000000" w:themeColor="text1"/>
          <w:sz w:val="20"/>
          <w:szCs w:val="20"/>
        </w:rPr>
      </w:pPr>
      <w:r w:rsidRPr="002174FC">
        <w:rPr>
          <w:rFonts w:hAnsi="Symbol" w:cs="Symbol"/>
          <w:color w:val="000000" w:themeColor="text1"/>
          <w:sz w:val="20"/>
          <w:szCs w:val="20"/>
        </w:rPr>
        <w:sym w:font="Symbol" w:char="00D3"/>
      </w:r>
      <w:r w:rsidRPr="002174FC">
        <w:rPr>
          <w:color w:val="000000" w:themeColor="text1"/>
          <w:sz w:val="20"/>
          <w:szCs w:val="20"/>
        </w:rPr>
        <w:t xml:space="preserve"> December,</w:t>
      </w:r>
      <w:r w:rsidRPr="002174FC">
        <w:rPr>
          <w:rFonts w:cs="Traditional Arabic"/>
          <w:color w:val="000000" w:themeColor="text1"/>
          <w:sz w:val="20"/>
          <w:szCs w:val="20"/>
        </w:rPr>
        <w:t xml:space="preserve"> </w:t>
      </w:r>
      <w:r w:rsidRPr="002174FC">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8A601E">
        <w:rPr>
          <w:rFonts w:asciiTheme="majorBidi" w:hAnsiTheme="majorBidi" w:cstheme="majorBidi"/>
        </w:rPr>
        <w:t xml:space="preserve">Tulkarm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526FD4" w:rsidRDefault="00C63631" w:rsidP="0017019C">
            <w:pPr>
              <w:pStyle w:val="BlockText"/>
              <w:tabs>
                <w:tab w:val="clear" w:pos="8647"/>
              </w:tabs>
              <w:ind w:left="0" w:right="-2"/>
              <w:jc w:val="left"/>
              <w:rPr>
                <w:rtl/>
              </w:rPr>
            </w:pPr>
            <w:r w:rsidRPr="00526FD4">
              <w:rPr>
                <w:sz w:val="20"/>
              </w:rPr>
              <w:t xml:space="preserve">Reference ID: </w:t>
            </w:r>
            <w:r w:rsidR="00526FD4" w:rsidRPr="00526FD4">
              <w:t>2489</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Moreover, PCBS expresses special gratitude and appreciation to the political leadership, represented by His Excellency, President Mahmoud Abbas – Abu Mazen, and the Palestinian government, represented by His Excellency, Dr. Rami Al-Hamdallah,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Deutsche Gesellschaft für Internationale Zusammenarbeit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United Nations Development Programme</w:t>
      </w:r>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PalTel, Jawwal and </w:t>
      </w:r>
      <w:r w:rsidR="00C2433D">
        <w:rPr>
          <w:rFonts w:cs="Simplified Arabic"/>
          <w:color w:val="000000"/>
        </w:rPr>
        <w:t xml:space="preserve"> </w:t>
      </w:r>
      <w:r w:rsidR="00812715">
        <w:rPr>
          <w:rFonts w:cs="Simplified Arabic"/>
          <w:color w:val="000000"/>
        </w:rPr>
        <w:t>Ooredoo</w:t>
      </w:r>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C02072"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759450" cy="8138795"/>
            <wp:effectExtent l="19050" t="0" r="0" b="0"/>
            <wp:docPr id="7" name="Picture 6" descr="Tulkarm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lkarm_en.png"/>
                    <pic:cNvPicPr/>
                  </pic:nvPicPr>
                  <pic:blipFill>
                    <a:blip r:embed="rId15" cstate="print"/>
                    <a:stretch>
                      <a:fillRect/>
                    </a:stretch>
                  </pic:blipFill>
                  <pic:spPr>
                    <a:xfrm>
                      <a:off x="0" y="0"/>
                      <a:ext cx="5759450" cy="8138795"/>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pPr>
        <w:rPr>
          <w:b/>
          <w:bCs/>
          <w:color w:val="000000" w:themeColor="text1"/>
          <w:sz w:val="28"/>
          <w:szCs w:val="28"/>
        </w:r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252" w:type="dxa"/>
        <w:jc w:val="center"/>
        <w:tblLayout w:type="fixed"/>
        <w:tblLook w:val="0000"/>
      </w:tblPr>
      <w:tblGrid>
        <w:gridCol w:w="463"/>
        <w:gridCol w:w="2977"/>
        <w:gridCol w:w="5812"/>
      </w:tblGrid>
      <w:tr w:rsidR="003764AF" w:rsidRPr="003C25B4" w:rsidTr="00EE1FD1">
        <w:trPr>
          <w:trHeight w:val="284"/>
          <w:jc w:val="center"/>
        </w:trPr>
        <w:tc>
          <w:tcPr>
            <w:tcW w:w="3440"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EE1FD1">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2977" w:type="dxa"/>
            <w:vAlign w:val="center"/>
          </w:tcPr>
          <w:p w:rsidR="008F5E35" w:rsidRPr="003C25B4" w:rsidRDefault="008F5E35" w:rsidP="00EE1FD1">
            <w:pPr>
              <w:pStyle w:val="Header"/>
              <w:ind w:hanging="108"/>
              <w:rPr>
                <w:rFonts w:cs="Simplified Arabic"/>
                <w:color w:val="000000" w:themeColor="text1"/>
                <w:rtl/>
              </w:rPr>
            </w:pPr>
            <w:r w:rsidRPr="008F5E35">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EE1FD1">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EE1FD1">
        <w:trPr>
          <w:trHeight w:val="284"/>
          <w:jc w:val="center"/>
        </w:trPr>
        <w:tc>
          <w:tcPr>
            <w:tcW w:w="3440"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r>
              <w:rPr>
                <w:rFonts w:cs="Simplified Arabic"/>
                <w:color w:val="000000" w:themeColor="text1"/>
              </w:rPr>
              <w:t>Imtithal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EE1FD1">
        <w:trPr>
          <w:trHeight w:val="284"/>
          <w:jc w:val="center"/>
        </w:trPr>
        <w:tc>
          <w:tcPr>
            <w:tcW w:w="3440"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r w:rsidRPr="003C25B4">
              <w:rPr>
                <w:rFonts w:cs="Simplified Arabic"/>
                <w:color w:val="000000" w:themeColor="text1"/>
              </w:rPr>
              <w:t>Hanan Janajreh</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EE1FD1">
        <w:trPr>
          <w:trHeight w:val="284"/>
          <w:jc w:val="center"/>
        </w:trPr>
        <w:tc>
          <w:tcPr>
            <w:tcW w:w="3440"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EE1FD1">
        <w:trPr>
          <w:trHeight w:val="284"/>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r w:rsidR="009465AD" w:rsidRPr="00FF030D">
              <w:rPr>
                <w:rFonts w:cs="Simplified Arabic"/>
                <w:color w:val="000000" w:themeColor="text1"/>
              </w:rPr>
              <w:t>O</w:t>
            </w:r>
            <w:r w:rsidR="009465AD">
              <w:rPr>
                <w:rFonts w:cs="Simplified Arabic"/>
                <w:color w:val="000000" w:themeColor="text1"/>
              </w:rPr>
              <w:t>mayma</w:t>
            </w:r>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38"/>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Maher Sbieh</w:t>
            </w:r>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284"/>
          <w:jc w:val="center"/>
        </w:trPr>
        <w:tc>
          <w:tcPr>
            <w:tcW w:w="3440"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r w:rsidRPr="005E4421">
              <w:rPr>
                <w:rFonts w:cs="Simplified Arabic"/>
                <w:color w:val="000000" w:themeColor="text1"/>
              </w:rPr>
              <w:t>I</w:t>
            </w:r>
            <w:r>
              <w:rPr>
                <w:rFonts w:cs="Simplified Arabic"/>
                <w:color w:val="000000" w:themeColor="text1"/>
              </w:rPr>
              <w:t>naya</w:t>
            </w:r>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41"/>
          <w:jc w:val="center"/>
        </w:trPr>
        <w:tc>
          <w:tcPr>
            <w:tcW w:w="463"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EE1FD1">
        <w:trPr>
          <w:cantSplit/>
          <w:trHeight w:val="284"/>
          <w:jc w:val="center"/>
        </w:trPr>
        <w:tc>
          <w:tcPr>
            <w:tcW w:w="3440"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tabs>
                <w:tab w:val="clear" w:pos="4153"/>
              </w:tabs>
              <w:ind w:hanging="108"/>
              <w:rPr>
                <w:rFonts w:cs="Simplified Arabic"/>
                <w:color w:val="000000" w:themeColor="text1"/>
                <w:rtl/>
              </w:rPr>
            </w:pPr>
            <w:r w:rsidRPr="003C25B4">
              <w:rPr>
                <w:rFonts w:cs="Simplified Arabic"/>
                <w:color w:val="000000" w:themeColor="text1"/>
              </w:rPr>
              <w:t>Ola Awad</w:t>
            </w:r>
          </w:p>
        </w:tc>
        <w:tc>
          <w:tcPr>
            <w:tcW w:w="5812" w:type="dxa"/>
            <w:vAlign w:val="center"/>
          </w:tcPr>
          <w:p w:rsidR="009465AD" w:rsidRPr="003C25B4" w:rsidRDefault="008612EE"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385EF4">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 unless otherwise.</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3D7B1E"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C139B2">
            <w:pPr>
              <w:jc w:val="center"/>
              <w:rPr>
                <w:color w:val="000000" w:themeColor="text1"/>
              </w:rPr>
            </w:pPr>
            <w:r>
              <w:rPr>
                <w:color w:val="000000" w:themeColor="text1"/>
              </w:rPr>
              <w:t>[</w:t>
            </w:r>
            <w:r w:rsidR="00C139B2">
              <w:rPr>
                <w:color w:val="000000" w:themeColor="text1"/>
              </w:rPr>
              <w:t>26</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D232B4">
              <w:t xml:space="preserve"> of</w:t>
            </w:r>
            <w:r w:rsidR="00D232B4" w:rsidRPr="00AF3A83">
              <w:t xml:space="preserve">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095AEA">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86073A">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 in</w:t>
            </w:r>
            <w:r w:rsidR="00EE1FD1">
              <w:rPr>
                <w:color w:val="000000" w:themeColor="text1"/>
              </w:rPr>
              <w:t xml:space="preserve"> </w:t>
            </w:r>
            <w:r w:rsidR="008A601E">
              <w:rPr>
                <w:color w:val="000000" w:themeColor="text1"/>
              </w:rPr>
              <w:t xml:space="preserve">Tulkarm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86073A">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EE1FD1">
              <w:rPr>
                <w:color w:val="000000" w:themeColor="text1"/>
              </w:rPr>
              <w:t xml:space="preserve"> </w:t>
            </w:r>
            <w:r w:rsidR="008A601E">
              <w:rPr>
                <w:color w:val="000000" w:themeColor="text1"/>
              </w:rPr>
              <w:t xml:space="preserve">Tulkarm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8A601E">
              <w:rPr>
                <w:color w:val="000000" w:themeColor="text1"/>
              </w:rPr>
              <w:t>Tulkarm</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86073A">
            <w:pPr>
              <w:jc w:val="both"/>
              <w:rPr>
                <w:color w:val="000000" w:themeColor="text1"/>
              </w:rPr>
            </w:pPr>
            <w:r>
              <w:rPr>
                <w:color w:val="000000" w:themeColor="text1"/>
              </w:rPr>
              <w:t xml:space="preserve">Occupied Housing Units in </w:t>
            </w:r>
            <w:r w:rsidR="008A601E">
              <w:rPr>
                <w:color w:val="000000" w:themeColor="text1"/>
              </w:rPr>
              <w:t xml:space="preserve">Tulkarm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86073A">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86073A">
              <w:rPr>
                <w:color w:val="000000" w:themeColor="text1"/>
              </w:rPr>
              <w:t xml:space="preserve"> </w:t>
            </w:r>
            <w:r w:rsidR="008A601E">
              <w:rPr>
                <w:color w:val="000000" w:themeColor="text1"/>
              </w:rPr>
              <w:t>Tulkarm</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86073A">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w:t>
            </w:r>
            <w:r w:rsidR="0086073A">
              <w:rPr>
                <w:color w:val="000000" w:themeColor="text1"/>
              </w:rPr>
              <w:t xml:space="preserve"> </w:t>
            </w:r>
            <w:r w:rsidRPr="00031D8A">
              <w:rPr>
                <w:color w:val="000000" w:themeColor="text1"/>
              </w:rPr>
              <w:t xml:space="preserve"> in</w:t>
            </w:r>
            <w:r w:rsidR="008A601E">
              <w:rPr>
                <w:color w:val="000000" w:themeColor="text1"/>
              </w:rPr>
              <w:t xml:space="preserve"> Tulkarm</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86073A">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 </w:t>
            </w:r>
            <w:r w:rsidR="008A601E">
              <w:rPr>
                <w:color w:val="000000" w:themeColor="text1"/>
              </w:rPr>
              <w:t xml:space="preserve"> Tulkarm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86073A">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8A601E">
              <w:rPr>
                <w:color w:val="000000" w:themeColor="text1"/>
              </w:rPr>
              <w:t xml:space="preserve"> Tulkarm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86073A">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86073A">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Pr="00B03BDA">
              <w:rPr>
                <w:color w:val="000000" w:themeColor="text1"/>
              </w:rPr>
              <w:t>in</w:t>
            </w:r>
            <w:r w:rsidR="008A601E">
              <w:rPr>
                <w:color w:val="000000" w:themeColor="text1"/>
              </w:rPr>
              <w:t xml:space="preserve"> Tulkarm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86073A">
            <w:pPr>
              <w:jc w:val="both"/>
              <w:rPr>
                <w:color w:val="000000" w:themeColor="text1"/>
              </w:rPr>
            </w:pPr>
            <w:r w:rsidRPr="00BA5637">
              <w:rPr>
                <w:color w:val="000000" w:themeColor="text1"/>
              </w:rPr>
              <w:t>Occupied Housing Units and Persons in</w:t>
            </w:r>
            <w:r w:rsidR="003F4208">
              <w:rPr>
                <w:color w:val="000000" w:themeColor="text1"/>
              </w:rPr>
              <w:t xml:space="preserve"> </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FF44D3">
            <w:pPr>
              <w:jc w:val="both"/>
              <w:rPr>
                <w:color w:val="000000" w:themeColor="text1"/>
              </w:rPr>
            </w:pPr>
            <w:r w:rsidRPr="00BA5637">
              <w:rPr>
                <w:color w:val="000000" w:themeColor="text1"/>
              </w:rPr>
              <w:t xml:space="preserve">Occupied Housing Units and Persons in </w:t>
            </w:r>
            <w:r w:rsidR="00C358E2">
              <w:rPr>
                <w:color w:val="000000" w:themeColor="text1"/>
              </w:rPr>
              <w:t xml:space="preserve"> </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86073A">
            <w:pPr>
              <w:jc w:val="both"/>
              <w:rPr>
                <w:color w:val="000000" w:themeColor="text1"/>
              </w:rPr>
            </w:pPr>
            <w:r w:rsidRPr="00B03BDA">
              <w:rPr>
                <w:color w:val="000000" w:themeColor="text1"/>
              </w:rPr>
              <w:t xml:space="preserve">Occupied Housing Units in </w:t>
            </w:r>
            <w:r w:rsidR="008A601E">
              <w:rPr>
                <w:color w:val="000000" w:themeColor="text1"/>
              </w:rPr>
              <w:t xml:space="preserve">Tulkarm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86073A">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86073A">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481E44">
              <w:rPr>
                <w:color w:val="000000" w:themeColor="text1"/>
              </w:rPr>
              <w:t xml:space="preserve"> </w:t>
            </w:r>
            <w:r w:rsidRPr="00BB249A">
              <w:rPr>
                <w:color w:val="000000" w:themeColor="text1"/>
              </w:rPr>
              <w:t xml:space="preserve"> </w:t>
            </w:r>
            <w:r w:rsidR="008A601E">
              <w:rPr>
                <w:color w:val="000000" w:themeColor="text1"/>
              </w:rPr>
              <w:t xml:space="preserve">Tulkarm </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481E44">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481E44">
              <w:rPr>
                <w:color w:val="000000" w:themeColor="text1"/>
              </w:rPr>
              <w:t xml:space="preserve">  </w:t>
            </w:r>
            <w:r w:rsidR="008A601E">
              <w:rPr>
                <w:color w:val="000000" w:themeColor="text1"/>
              </w:rPr>
              <w:t xml:space="preserve">Tulkarm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481E44">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8A601E">
              <w:rPr>
                <w:color w:val="000000" w:themeColor="text1"/>
              </w:rPr>
              <w:t xml:space="preserve"> Tulkarm</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481E44">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481E44">
              <w:rPr>
                <w:color w:val="000000" w:themeColor="text1"/>
              </w:rPr>
              <w:t xml:space="preserve"> </w:t>
            </w:r>
            <w:r w:rsidR="008A601E">
              <w:rPr>
                <w:color w:val="000000" w:themeColor="text1"/>
              </w:rPr>
              <w:t xml:space="preserve"> Tulkarm</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481E44">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8A601E">
              <w:rPr>
                <w:color w:val="000000" w:themeColor="text1"/>
              </w:rPr>
              <w:t xml:space="preserve">Tulkarm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481E44">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8A601E">
              <w:rPr>
                <w:color w:val="000000" w:themeColor="text1"/>
              </w:rPr>
              <w:t xml:space="preserve">Tulkarm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Locality and  Availability</w:t>
            </w:r>
            <w:r w:rsidR="00481E44">
              <w:rPr>
                <w:color w:val="000000" w:themeColor="text1"/>
              </w:rPr>
              <w:t xml:space="preserve"> </w:t>
            </w:r>
            <w:r w:rsidRPr="00B03BDA">
              <w:rPr>
                <w:color w:val="000000" w:themeColor="text1"/>
              </w:rPr>
              <w:t xml:space="preserve"> Both </w:t>
            </w:r>
            <w:r w:rsidR="000F493C">
              <w:rPr>
                <w:color w:val="000000" w:themeColor="text1"/>
              </w:rPr>
              <w:t>o</w:t>
            </w:r>
            <w:r w:rsidRPr="00B03BDA">
              <w:rPr>
                <w:color w:val="000000" w:themeColor="text1"/>
              </w:rPr>
              <w:t>f Toilet and</w:t>
            </w:r>
            <w:r w:rsidR="00EE1FD1">
              <w:rPr>
                <w:color w:val="000000" w:themeColor="text1"/>
              </w:rPr>
              <w:t xml:space="preserve"> </w:t>
            </w:r>
            <w:r w:rsidRPr="00B03BDA">
              <w:rPr>
                <w:color w:val="000000" w:themeColor="text1"/>
              </w:rPr>
              <w:t>Bathroom</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481E44">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 </w:t>
            </w:r>
            <w:r w:rsidR="008A601E">
              <w:rPr>
                <w:color w:val="000000" w:themeColor="text1"/>
              </w:rPr>
              <w:t xml:space="preserve"> Tulkarm</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Type of Housing Unit and Availability Both Bathroom</w:t>
            </w:r>
            <w:r w:rsidR="009F7901">
              <w:rPr>
                <w:color w:val="000000" w:themeColor="text1"/>
              </w:rPr>
              <w:t xml:space="preserve"> </w:t>
            </w:r>
            <w:r w:rsidRPr="00F64840">
              <w:rPr>
                <w:color w:val="000000" w:themeColor="text1"/>
              </w:rPr>
              <w:t>and Toilet</w:t>
            </w:r>
            <w:r w:rsidR="009346BD">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481E44">
            <w:pPr>
              <w:jc w:val="both"/>
              <w:rPr>
                <w:color w:val="000000" w:themeColor="text1"/>
              </w:rPr>
            </w:pPr>
            <w:r w:rsidRPr="00F64840">
              <w:rPr>
                <w:color w:val="000000" w:themeColor="text1"/>
              </w:rPr>
              <w:t>Households in</w:t>
            </w:r>
            <w:r w:rsidR="00EE1FD1">
              <w:rPr>
                <w:color w:val="000000" w:themeColor="text1"/>
              </w:rPr>
              <w:t xml:space="preserve"> </w:t>
            </w:r>
            <w:r w:rsidR="008A601E">
              <w:rPr>
                <w:color w:val="000000" w:themeColor="text1"/>
              </w:rPr>
              <w:t>Tulkarm</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481E44">
            <w:pPr>
              <w:jc w:val="both"/>
              <w:rPr>
                <w:color w:val="000000" w:themeColor="text1"/>
              </w:rPr>
            </w:pPr>
            <w:r w:rsidRPr="009346BD">
              <w:rPr>
                <w:color w:val="000000" w:themeColor="text1"/>
              </w:rPr>
              <w:t xml:space="preserve">Households in </w:t>
            </w:r>
            <w:r w:rsidR="00481E44">
              <w:rPr>
                <w:color w:val="000000" w:themeColor="text1"/>
              </w:rPr>
              <w:t xml:space="preserve"> </w:t>
            </w:r>
            <w:r w:rsidR="008A601E">
              <w:rPr>
                <w:color w:val="000000" w:themeColor="text1"/>
              </w:rPr>
              <w:t xml:space="preserve">Tulkarm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of Head of 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EE1FD1">
            <w:pPr>
              <w:jc w:val="both"/>
              <w:rPr>
                <w:color w:val="000000" w:themeColor="text1"/>
              </w:rPr>
            </w:pPr>
            <w:r w:rsidRPr="00F64840">
              <w:rPr>
                <w:color w:val="000000" w:themeColor="text1"/>
              </w:rPr>
              <w:t>Households in</w:t>
            </w:r>
            <w:r w:rsidR="00EE1FD1">
              <w:rPr>
                <w:color w:val="000000" w:themeColor="text1"/>
              </w:rPr>
              <w:t xml:space="preserve"> </w:t>
            </w:r>
            <w:r w:rsidR="008A601E">
              <w:rPr>
                <w:color w:val="000000" w:themeColor="text1"/>
              </w:rPr>
              <w:t xml:space="preserve"> Tulkarm </w:t>
            </w:r>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8758AD">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481E44">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EE1FD1">
              <w:rPr>
                <w:color w:val="000000" w:themeColor="text1"/>
              </w:rPr>
              <w:t xml:space="preserve"> </w:t>
            </w:r>
            <w:r w:rsidR="008A601E">
              <w:rPr>
                <w:color w:val="000000" w:themeColor="text1"/>
              </w:rPr>
              <w:t>Tulkarm</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481E44">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EE1FD1">
              <w:rPr>
                <w:color w:val="000000" w:themeColor="text1"/>
              </w:rPr>
              <w:t xml:space="preserve"> </w:t>
            </w:r>
            <w:r w:rsidR="008A601E">
              <w:rPr>
                <w:color w:val="000000" w:themeColor="text1"/>
              </w:rPr>
              <w:t xml:space="preserve">Tulkarm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EE1FD1">
            <w:pPr>
              <w:jc w:val="both"/>
              <w:rPr>
                <w:color w:val="000000" w:themeColor="text1"/>
              </w:rPr>
            </w:pPr>
            <w:r w:rsidRPr="009F6301">
              <w:rPr>
                <w:color w:val="000000" w:themeColor="text1"/>
              </w:rPr>
              <w:t>Households in</w:t>
            </w:r>
            <w:r w:rsidR="00EE1FD1">
              <w:rPr>
                <w:color w:val="000000" w:themeColor="text1"/>
              </w:rPr>
              <w:t xml:space="preserve"> </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EE1FD1">
            <w:pPr>
              <w:jc w:val="both"/>
              <w:rPr>
                <w:b/>
                <w:bCs/>
                <w:color w:val="000000" w:themeColor="text1"/>
                <w:sz w:val="10"/>
                <w:szCs w:val="10"/>
              </w:rPr>
            </w:pPr>
            <w:r w:rsidRPr="009F6301">
              <w:rPr>
                <w:color w:val="000000" w:themeColor="text1"/>
              </w:rPr>
              <w:t>Households in</w:t>
            </w:r>
            <w:r w:rsidR="00EE1FD1">
              <w:rPr>
                <w:color w:val="000000" w:themeColor="text1"/>
              </w:rPr>
              <w:t xml:space="preserve"> </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481E44">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481E44">
              <w:rPr>
                <w:color w:val="000000" w:themeColor="text1"/>
              </w:rPr>
              <w:t xml:space="preserve"> </w:t>
            </w:r>
            <w:r w:rsidR="008A601E">
              <w:rPr>
                <w:color w:val="000000" w:themeColor="text1"/>
              </w:rPr>
              <w:t xml:space="preserve"> Tulkarm </w:t>
            </w:r>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Pr>
          <w:p w:rsidR="007168A8" w:rsidRPr="005F6E3A" w:rsidRDefault="0060625C" w:rsidP="00657B46">
            <w:pPr>
              <w:jc w:val="center"/>
              <w:rPr>
                <w:color w:val="000000" w:themeColor="text1"/>
              </w:rPr>
            </w:pPr>
            <w:r>
              <w:rPr>
                <w:b/>
                <w:bCs/>
                <w:color w:val="000000" w:themeColor="text1"/>
              </w:rPr>
              <w:t>104</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481E44">
            <w:pPr>
              <w:jc w:val="both"/>
              <w:rPr>
                <w:color w:val="000000" w:themeColor="text1"/>
              </w:rPr>
            </w:pPr>
            <w:r w:rsidRPr="00B00B26">
              <w:rPr>
                <w:color w:val="000000" w:themeColor="text1"/>
              </w:rPr>
              <w:t>Households</w:t>
            </w:r>
            <w:r w:rsidR="00481E44">
              <w:rPr>
                <w:color w:val="000000" w:themeColor="text1"/>
              </w:rPr>
              <w:t xml:space="preserve"> </w:t>
            </w:r>
            <w:r w:rsidRPr="00B00B26">
              <w:rPr>
                <w:color w:val="000000" w:themeColor="text1"/>
              </w:rPr>
              <w:t xml:space="preserve"> in</w:t>
            </w:r>
            <w:r w:rsidR="00EE1FD1">
              <w:rPr>
                <w:color w:val="000000" w:themeColor="text1"/>
              </w:rPr>
              <w:t xml:space="preserve"> </w:t>
            </w:r>
            <w:r w:rsidR="008A601E">
              <w:rPr>
                <w:color w:val="000000" w:themeColor="text1"/>
              </w:rPr>
              <w:t xml:space="preserve"> Tulkarm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481E44">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481E44">
            <w:pPr>
              <w:jc w:val="both"/>
              <w:rPr>
                <w:b/>
                <w:bCs/>
                <w:color w:val="000000" w:themeColor="text1"/>
                <w:sz w:val="10"/>
                <w:szCs w:val="10"/>
              </w:rPr>
            </w:pPr>
            <w:r w:rsidRPr="000E5B20">
              <w:rPr>
                <w:color w:val="000000" w:themeColor="text1"/>
              </w:rPr>
              <w:t>Households in</w:t>
            </w:r>
            <w:r w:rsidR="00EE1FD1">
              <w:rPr>
                <w:color w:val="000000" w:themeColor="text1"/>
              </w:rPr>
              <w:t xml:space="preserve"> </w:t>
            </w:r>
            <w:r w:rsidR="008A601E">
              <w:rPr>
                <w:color w:val="000000" w:themeColor="text1"/>
              </w:rPr>
              <w:t xml:space="preserve">Tulkarm </w:t>
            </w:r>
            <w:r w:rsidR="00C358E2">
              <w:rPr>
                <w:color w:val="000000" w:themeColor="text1"/>
              </w:rPr>
              <w:t>Governorate</w:t>
            </w:r>
            <w:r w:rsidR="009D30D8">
              <w:rPr>
                <w:color w:val="000000" w:themeColor="text1"/>
              </w:rPr>
              <w:t xml:space="preserve"> </w:t>
            </w:r>
            <w:r w:rsidRPr="000E5B20">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481E44">
            <w:pPr>
              <w:keepNext/>
              <w:jc w:val="both"/>
              <w:rPr>
                <w:color w:val="000000" w:themeColor="text1"/>
              </w:rPr>
            </w:pPr>
            <w:r w:rsidRPr="00C929EE">
              <w:rPr>
                <w:color w:val="000000" w:themeColor="text1"/>
              </w:rPr>
              <w:t>Households</w:t>
            </w:r>
            <w:r w:rsidR="00481E44">
              <w:rPr>
                <w:color w:val="000000" w:themeColor="text1"/>
              </w:rPr>
              <w:t xml:space="preserve"> </w:t>
            </w:r>
            <w:r w:rsidRPr="00C929EE">
              <w:rPr>
                <w:color w:val="000000" w:themeColor="text1"/>
              </w:rPr>
              <w:t xml:space="preserve"> in</w:t>
            </w:r>
            <w:r w:rsidR="00481E44">
              <w:rPr>
                <w:color w:val="000000" w:themeColor="text1"/>
              </w:rPr>
              <w:t xml:space="preserve"> </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4F02E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8A601E">
              <w:rPr>
                <w:color w:val="000000" w:themeColor="text1"/>
              </w:rPr>
              <w:t xml:space="preserve"> Tulkarm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481E44">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EE1FD1">
              <w:rPr>
                <w:color w:val="000000" w:themeColor="text1"/>
              </w:rPr>
              <w:t xml:space="preserve"> </w:t>
            </w:r>
            <w:r w:rsidR="008A601E">
              <w:rPr>
                <w:color w:val="000000" w:themeColor="text1"/>
              </w:rPr>
              <w:t xml:space="preserve">Tulkarm </w:t>
            </w:r>
            <w:r w:rsidR="00481E44">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8A601E">
              <w:rPr>
                <w:color w:val="000000" w:themeColor="text1"/>
              </w:rPr>
              <w:t xml:space="preserve">Tulkarm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4F02EC">
            <w:pPr>
              <w:jc w:val="both"/>
              <w:rPr>
                <w:color w:val="000000" w:themeColor="text1"/>
              </w:rPr>
            </w:pPr>
            <w:r w:rsidRPr="00052F10">
              <w:rPr>
                <w:color w:val="000000" w:themeColor="text1"/>
              </w:rPr>
              <w:t xml:space="preserve">Households in </w:t>
            </w:r>
            <w:r w:rsidR="008A601E">
              <w:rPr>
                <w:color w:val="000000" w:themeColor="text1"/>
              </w:rPr>
              <w:t xml:space="preserve">Tulkarm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481E44">
            <w:pPr>
              <w:jc w:val="both"/>
              <w:rPr>
                <w:color w:val="000000" w:themeColor="text1"/>
              </w:rPr>
            </w:pPr>
            <w:r w:rsidRPr="00052F10">
              <w:rPr>
                <w:color w:val="000000" w:themeColor="text1"/>
              </w:rPr>
              <w:t xml:space="preserve">Households in </w:t>
            </w:r>
            <w:r w:rsidR="008A601E">
              <w:rPr>
                <w:color w:val="000000" w:themeColor="text1"/>
              </w:rPr>
              <w:t xml:space="preserve">Tulkarm </w:t>
            </w:r>
            <w:r w:rsidRPr="00052F10">
              <w:rPr>
                <w:color w:val="000000" w:themeColor="text1"/>
              </w:rPr>
              <w:t xml:space="preserve">Governorate by Number of IT Tools Available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EE1FD1">
            <w:pPr>
              <w:jc w:val="both"/>
              <w:rPr>
                <w:color w:val="000000" w:themeColor="text1"/>
              </w:rPr>
            </w:pPr>
            <w:r w:rsidRPr="0051100A">
              <w:rPr>
                <w:color w:val="000000" w:themeColor="text1"/>
              </w:rPr>
              <w:t>Occupied Housing Units in</w:t>
            </w:r>
            <w:r>
              <w:rPr>
                <w:color w:val="000000" w:themeColor="text1"/>
              </w:rPr>
              <w:t xml:space="preserve"> </w:t>
            </w:r>
            <w:r w:rsidR="008A601E">
              <w:rPr>
                <w:color w:val="000000" w:themeColor="text1"/>
              </w:rPr>
              <w:t xml:space="preserve"> Tulkarm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7701C4" w:rsidP="004D28F9">
            <w:pPr>
              <w:rPr>
                <w:b/>
                <w:bCs/>
              </w:rPr>
            </w:pPr>
            <w:r w:rsidRPr="002174FC">
              <w:rPr>
                <w:b/>
                <w:bCs/>
                <w:color w:val="000000" w:themeColor="text1"/>
                <w:sz w:val="28"/>
                <w:szCs w:val="28"/>
              </w:rPr>
              <w:t>December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40521" w:rsidRPr="00175A86" w:rsidRDefault="00740521" w:rsidP="00175A86">
            <w:pPr>
              <w:ind w:left="38"/>
              <w:jc w:val="center"/>
              <w:rPr>
                <w:b/>
                <w:bCs/>
              </w:rPr>
            </w:pPr>
            <w:r w:rsidRPr="00175A86">
              <w:rPr>
                <w:b/>
                <w:bCs/>
              </w:rPr>
              <w:t>Ola Awad</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C16037">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(Jenin, Tubas </w:t>
      </w:r>
      <w:r w:rsidR="00C16037">
        <w:t xml:space="preserve">and </w:t>
      </w:r>
      <w:r w:rsidRPr="00D835A5">
        <w:t xml:space="preserve"> Northern Valleys, Tulkarm, Nablus, Qalqiliya, Salfit, Ramallah &amp; Al-Bireh, Jericho &amp; AlAghwar (Ariha), Jerusalem (Al Quds), Bethlehem (Beit</w:t>
      </w:r>
      <w:r w:rsidR="00C72FEE">
        <w:t xml:space="preserve"> Lahm), and Hebron (Al Khalil))</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divided into 5 Governorates (North Gaza, Gaza, Deir Al Balah, Khan Yunis, Rafah</w:t>
      </w:r>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New-borns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umra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centres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in universities, institutes and other centres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tibplate</w:t>
      </w:r>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7701C4">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w:t>
      </w:r>
      <w:r w:rsidR="008A601E">
        <w:t xml:space="preserve"> Tulkarm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7701C4">
      <w:pPr>
        <w:jc w:val="both"/>
      </w:pPr>
      <w:r>
        <w:t xml:space="preserve">Census data showed that the number of </w:t>
      </w:r>
      <w:r w:rsidRPr="006C52EA">
        <w:t>occupied</w:t>
      </w:r>
      <w:r>
        <w:t xml:space="preserve"> housing units in </w:t>
      </w:r>
      <w:r w:rsidR="008A601E">
        <w:t xml:space="preserve"> Tulkarm</w:t>
      </w:r>
      <w:r w:rsidR="00F55E0F">
        <w:t xml:space="preserve"> </w:t>
      </w:r>
      <w:r w:rsidR="00A85FC9" w:rsidRPr="00A85FC9">
        <w:t>Governorate</w:t>
      </w:r>
      <w:r>
        <w:t xml:space="preserve"> is </w:t>
      </w:r>
      <w:r w:rsidR="007E6E8B">
        <w:rPr>
          <w:color w:val="000000"/>
        </w:rPr>
        <w:t>39,360</w:t>
      </w:r>
      <w:r w:rsidR="009D6EC9">
        <w:rPr>
          <w:color w:val="000000"/>
        </w:rPr>
        <w:t xml:space="preserve">, </w:t>
      </w:r>
      <w:r w:rsidR="007E6E8B">
        <w:t>6.6</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7E6E8B">
        <w:t>73.7</w:t>
      </w:r>
      <w:r>
        <w:t xml:space="preserve">% in urban, </w:t>
      </w:r>
      <w:r w:rsidR="007E6E8B">
        <w:t>17.7</w:t>
      </w:r>
      <w:r>
        <w:t xml:space="preserve">% in rural and </w:t>
      </w:r>
      <w:r w:rsidR="007E6E8B">
        <w:t xml:space="preserve"> 8.6</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7E6E8B">
        <w:t>32.5</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7E6E8B">
      <w:pPr>
        <w:jc w:val="both"/>
      </w:pPr>
      <w:r>
        <w:t>Data</w:t>
      </w:r>
      <w:r w:rsidR="00726CF3">
        <w:t xml:space="preserve"> also showed that number of persons in </w:t>
      </w:r>
      <w:r w:rsidR="00726CF3" w:rsidRPr="006C52EA">
        <w:t>occupied</w:t>
      </w:r>
      <w:r w:rsidR="00726CF3">
        <w:t xml:space="preserve"> housing units totals </w:t>
      </w:r>
      <w:r w:rsidR="007E6E8B">
        <w:t>183,110</w:t>
      </w:r>
      <w:r w:rsidR="00726CF3">
        <w:t xml:space="preserve"> with an increase of </w:t>
      </w:r>
      <w:r w:rsidR="007E6E8B">
        <w:t>16.8</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805FB8" w:rsidP="007701C4">
      <w:pPr>
        <w:pStyle w:val="BodyText"/>
        <w:jc w:val="center"/>
        <w:rPr>
          <w:rFonts w:ascii="Arial" w:hAnsi="Arial" w:cs="Arial"/>
          <w:b/>
          <w:bCs/>
          <w:sz w:val="22"/>
        </w:rPr>
      </w:pPr>
      <w:r w:rsidRPr="00986133">
        <w:rPr>
          <w:rFonts w:ascii="Arial" w:hAnsi="Arial" w:cs="Arial"/>
          <w:b/>
          <w:bCs/>
          <w:sz w:val="22"/>
        </w:rPr>
        <w:t>Number of Occupied Housing Units and Persons in</w:t>
      </w:r>
      <w:r w:rsidR="008A601E">
        <w:rPr>
          <w:rFonts w:ascii="Arial" w:hAnsi="Arial" w:cs="Arial"/>
          <w:b/>
          <w:bCs/>
          <w:sz w:val="22"/>
        </w:rPr>
        <w:t xml:space="preserve"> Tulkarm</w:t>
      </w:r>
      <w:r w:rsidR="00F55E0F">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326" w:type="pct"/>
        <w:jc w:val="center"/>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273"/>
      </w:tblGrid>
      <w:tr w:rsidR="001F36B4" w:rsidRPr="00347CBD" w:rsidTr="00350479">
        <w:trPr>
          <w:trHeight w:val="397"/>
          <w:jc w:val="center"/>
        </w:trPr>
        <w:tc>
          <w:tcPr>
            <w:tcW w:w="5000" w:type="pct"/>
            <w:vAlign w:val="center"/>
          </w:tcPr>
          <w:p w:rsidR="001F36B4" w:rsidRPr="001F36B4" w:rsidRDefault="006F3B6A" w:rsidP="00760FA4">
            <w:pPr>
              <w:tabs>
                <w:tab w:val="num" w:pos="624"/>
              </w:tabs>
              <w:ind w:right="140"/>
              <w:jc w:val="center"/>
              <w:rPr>
                <w:b/>
                <w:bCs/>
                <w:rtl/>
              </w:rPr>
            </w:pPr>
            <w:r>
              <w:rPr>
                <w:b/>
                <w:bCs/>
              </w:rPr>
              <w:t>50</w:t>
            </w:r>
            <w:r w:rsidR="007C02C5" w:rsidRPr="001F36B4">
              <w:rPr>
                <w:b/>
                <w:bCs/>
              </w:rPr>
              <w:t>%</w:t>
            </w:r>
            <w:r w:rsidR="007C02C5">
              <w:rPr>
                <w:b/>
                <w:bCs/>
              </w:rPr>
              <w:t xml:space="preserve"> of </w:t>
            </w:r>
            <w:r w:rsidR="007A76A6" w:rsidRPr="007A76A6">
              <w:rPr>
                <w:b/>
                <w:bCs/>
              </w:rPr>
              <w:t>occupied</w:t>
            </w:r>
            <w:r w:rsidR="007A76A6">
              <w:rPr>
                <w:b/>
                <w:bCs/>
              </w:rPr>
              <w:t xml:space="preserve"> </w:t>
            </w:r>
            <w:r w:rsidR="007C02C5">
              <w:rPr>
                <w:b/>
                <w:bCs/>
              </w:rPr>
              <w:t>housing units are</w:t>
            </w:r>
            <w:r w:rsidR="003830E2">
              <w:rPr>
                <w:b/>
                <w:bCs/>
              </w:rPr>
              <w:t xml:space="preserve"> </w:t>
            </w:r>
            <w:r w:rsidR="00760FA4">
              <w:rPr>
                <w:b/>
                <w:bCs/>
              </w:rPr>
              <w:t>c</w:t>
            </w:r>
            <w:r w:rsidR="003830E2">
              <w:rPr>
                <w:b/>
                <w:bCs/>
              </w:rPr>
              <w:t>lassified as</w:t>
            </w:r>
            <w:r w:rsidR="007A76A6">
              <w:t xml:space="preserve"> </w:t>
            </w:r>
            <w:r w:rsidR="007A76A6" w:rsidRPr="007A76A6">
              <w:rPr>
                <w:b/>
                <w:bCs/>
              </w:rPr>
              <w:t>Houses</w:t>
            </w:r>
          </w:p>
        </w:tc>
      </w:tr>
    </w:tbl>
    <w:p w:rsidR="00EC1A8D" w:rsidRPr="00757DF7" w:rsidRDefault="00EC1A8D" w:rsidP="001F36B4">
      <w:pPr>
        <w:pStyle w:val="ListParagraph"/>
        <w:bidi w:val="0"/>
        <w:ind w:left="780"/>
        <w:jc w:val="center"/>
        <w:rPr>
          <w:b/>
          <w:bCs/>
        </w:rPr>
      </w:pPr>
    </w:p>
    <w:p w:rsidR="005B7B4B" w:rsidRDefault="005B7B4B" w:rsidP="008C3A26">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6F3B6A">
        <w:t>19,674</w:t>
      </w:r>
      <w:r>
        <w:t xml:space="preserve"> of occupied </w:t>
      </w:r>
      <w:r w:rsidRPr="00052ED9">
        <w:t xml:space="preserve">housing </w:t>
      </w:r>
      <w:r>
        <w:t>units are</w:t>
      </w:r>
      <w:r w:rsidR="00C35EA7" w:rsidRPr="00C35EA7">
        <w:t xml:space="preserve"> </w:t>
      </w:r>
      <w:r w:rsidR="00C35EA7">
        <w:t>houses</w:t>
      </w:r>
      <w:r w:rsidR="006F3B6A">
        <w:t xml:space="preserve"> 50.0</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6F3B6A" w:rsidRPr="006F3B6A">
        <w:t>19,098</w:t>
      </w:r>
      <w:r w:rsidR="006F3B6A" w:rsidRPr="00EE2AD7">
        <w:rPr>
          <w:rFonts w:ascii="Simplified Arabic" w:hAnsi="Simplified Arabic" w:cs="Simplified Arabic"/>
          <w:rtl/>
        </w:rPr>
        <w:t xml:space="preserve"> </w:t>
      </w:r>
      <w: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8C3A26">
        <w:t>48.5</w:t>
      </w:r>
      <w:r w:rsidRPr="00052ED9">
        <w:t>%,</w:t>
      </w:r>
      <w:r>
        <w:t xml:space="preserve"> and</w:t>
      </w:r>
      <w:r w:rsidRPr="00052ED9">
        <w:t xml:space="preserve"> </w:t>
      </w:r>
      <w:r w:rsidR="008C3A26">
        <w:t>456</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8C3A26">
        <w:t>1.2</w:t>
      </w:r>
      <w:r>
        <w:t xml:space="preserve">% </w:t>
      </w:r>
      <w:r>
        <w:rPr>
          <w:rFonts w:asciiTheme="majorBidi" w:hAnsiTheme="majorBidi" w:cstheme="majorBidi"/>
        </w:rPr>
        <w:t>(see table 3).</w:t>
      </w:r>
    </w:p>
    <w:p w:rsidR="00FF0011" w:rsidRDefault="00FF0011" w:rsidP="00195AF3">
      <w:pPr>
        <w:jc w:val="both"/>
      </w:pPr>
    </w:p>
    <w:p w:rsidR="00FF0011" w:rsidRDefault="007701C4" w:rsidP="007701C4">
      <w:pPr>
        <w:pStyle w:val="Heading3"/>
        <w:ind w:right="-142" w:hanging="142"/>
        <w:rPr>
          <w:rFonts w:ascii="Arial" w:hAnsi="Arial" w:cs="Arial"/>
          <w:sz w:val="22"/>
          <w:szCs w:val="22"/>
          <w:lang w:val="en-GB"/>
        </w:rPr>
      </w:pPr>
      <w:r>
        <w:rPr>
          <w:rFonts w:ascii="Arial" w:hAnsi="Arial" w:cs="Arial"/>
          <w:sz w:val="22"/>
          <w:szCs w:val="22"/>
        </w:rPr>
        <w:lastRenderedPageBreak/>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 xml:space="preserve">in </w:t>
      </w:r>
      <w:r w:rsidR="008A601E">
        <w:rPr>
          <w:rFonts w:ascii="Arial" w:hAnsi="Arial" w:cs="Arial"/>
          <w:sz w:val="22"/>
          <w:szCs w:val="22"/>
        </w:rPr>
        <w:t>Tulkarm</w:t>
      </w:r>
      <w:r w:rsidR="008C3A26">
        <w:rPr>
          <w:rFonts w:ascii="Arial" w:hAnsi="Arial" w:cs="Arial"/>
          <w:sz w:val="22"/>
          <w:szCs w:val="22"/>
        </w:rPr>
        <w:t xml:space="preserve"> </w:t>
      </w:r>
      <w:r w:rsidR="00A85FC9">
        <w:rPr>
          <w:rFonts w:ascii="Arial" w:hAnsi="Arial" w:cs="Arial"/>
          <w:sz w:val="22"/>
          <w:szCs w:val="22"/>
        </w:rPr>
        <w:t xml:space="preserve">Governorate </w:t>
      </w:r>
      <w:r w:rsidR="00FF0011">
        <w:rPr>
          <w:rFonts w:ascii="Arial" w:hAnsi="Arial" w:cs="Arial"/>
          <w:sz w:val="22"/>
          <w:szCs w:val="22"/>
        </w:rPr>
        <w:t>by</w:t>
      </w:r>
      <w:r>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104"/>
      </w:tblGrid>
      <w:tr w:rsidR="00FF0011" w:rsidTr="00C139B2">
        <w:trPr>
          <w:trHeight w:val="3459"/>
          <w:jc w:val="center"/>
        </w:trPr>
        <w:tc>
          <w:tcPr>
            <w:tcW w:w="8104"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A36721">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A36721">
        <w:rPr>
          <w:sz w:val="18"/>
          <w:szCs w:val="14"/>
        </w:rPr>
        <w:t>Tent</w:t>
      </w:r>
      <w:r w:rsidR="00DB0852" w:rsidRPr="00810186">
        <w:rPr>
          <w:sz w:val="18"/>
          <w:szCs w:val="14"/>
        </w:rPr>
        <w:t xml:space="preserve">,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3C2B7C" w:rsidP="00810186">
            <w:pPr>
              <w:tabs>
                <w:tab w:val="num" w:pos="624"/>
              </w:tabs>
              <w:ind w:right="140"/>
              <w:jc w:val="center"/>
              <w:rPr>
                <w:b/>
                <w:bCs/>
              </w:rPr>
            </w:pPr>
            <w:r>
              <w:rPr>
                <w:b/>
                <w:bCs/>
              </w:rPr>
              <w:t>86</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F67B3E" w:rsidRPr="00F67B3E">
              <w:rPr>
                <w:b/>
                <w:bCs/>
              </w:rPr>
              <w:t>owned by of the household</w:t>
            </w:r>
          </w:p>
        </w:tc>
      </w:tr>
    </w:tbl>
    <w:p w:rsidR="00153BC8" w:rsidRDefault="00153BC8" w:rsidP="002774FD">
      <w:pPr>
        <w:jc w:val="both"/>
        <w:rPr>
          <w:b/>
          <w:bCs/>
        </w:rPr>
      </w:pPr>
    </w:p>
    <w:p w:rsidR="00805FB8" w:rsidRDefault="00805FB8" w:rsidP="007701C4">
      <w:pPr>
        <w:jc w:val="both"/>
      </w:pPr>
      <w:r>
        <w:t>The Census finding show</w:t>
      </w:r>
      <w:r w:rsidR="00852CA0">
        <w:t>ed</w:t>
      </w:r>
      <w:r>
        <w:t xml:space="preserve"> that the majority or </w:t>
      </w:r>
      <w:r w:rsidR="008214EF">
        <w:t>33,931</w:t>
      </w:r>
      <w:r>
        <w:t xml:space="preserve"> of the occupied housing units in </w:t>
      </w:r>
      <w:r w:rsidR="008A601E">
        <w:t xml:space="preserve"> Tulkarm</w:t>
      </w:r>
      <w:r w:rsidR="008214EF">
        <w:t xml:space="preserve"> </w:t>
      </w:r>
      <w:r w:rsidR="00A85FC9">
        <w:t xml:space="preserve">Governorate </w:t>
      </w:r>
      <w:r>
        <w:t xml:space="preserve"> are owned by one of the household’s members. This constitutes </w:t>
      </w:r>
      <w:r w:rsidR="008214EF">
        <w:t>86.2</w:t>
      </w:r>
      <w:r>
        <w:t>% of the total</w:t>
      </w:r>
      <w:r w:rsidR="008214EF">
        <w:t xml:space="preserve"> </w:t>
      </w:r>
      <w:r>
        <w:t xml:space="preserve"> number of the occupied housing units. On the other hand, the unfurnished rented occupied housing units constitute </w:t>
      </w:r>
      <w:r w:rsidR="008214EF">
        <w:t>9.9</w:t>
      </w:r>
      <w:r>
        <w:t xml:space="preserve">% or </w:t>
      </w:r>
      <w:r w:rsidR="008214EF">
        <w:t>3,883</w:t>
      </w:r>
      <w:r w:rsidR="002774FD">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806387" w:rsidRDefault="007701C4" w:rsidP="008214EF">
      <w:pPr>
        <w:pStyle w:val="Heading3"/>
        <w:rPr>
          <w:rFonts w:ascii="Arial" w:hAnsi="Arial" w:cs="Arial"/>
          <w:sz w:val="22"/>
          <w:szCs w:val="22"/>
        </w:rPr>
      </w:pPr>
      <w:r>
        <w:rPr>
          <w:rFonts w:ascii="Arial" w:hAnsi="Arial" w:cs="Arial"/>
          <w:sz w:val="22"/>
          <w:szCs w:val="22"/>
        </w:rPr>
        <w:t xml:space="preserve">       </w:t>
      </w:r>
      <w:r w:rsidR="00D16EF6">
        <w:rPr>
          <w:rFonts w:ascii="Arial" w:hAnsi="Arial" w:cs="Arial"/>
          <w:sz w:val="22"/>
          <w:szCs w:val="22"/>
        </w:rPr>
        <w:t xml:space="preserve">Percentage Distribution of Occupied Housing Units in </w:t>
      </w:r>
      <w:r w:rsidR="008A601E">
        <w:rPr>
          <w:rFonts w:ascii="Arial" w:hAnsi="Arial" w:cs="Arial"/>
          <w:sz w:val="22"/>
          <w:szCs w:val="22"/>
        </w:rPr>
        <w:t>Tulkarm</w:t>
      </w:r>
      <w:r w:rsidR="008214EF">
        <w:rPr>
          <w:rFonts w:ascii="Arial" w:hAnsi="Arial" w:cs="Arial"/>
          <w:sz w:val="22"/>
          <w:szCs w:val="22"/>
        </w:rPr>
        <w:t xml:space="preserve"> </w:t>
      </w:r>
      <w:r w:rsidR="006217D1">
        <w:rPr>
          <w:rFonts w:ascii="Arial" w:hAnsi="Arial" w:cs="Arial"/>
          <w:sz w:val="22"/>
          <w:szCs w:val="22"/>
        </w:rPr>
        <w:t>Governorate</w:t>
      </w:r>
      <w:r>
        <w:rPr>
          <w:rFonts w:ascii="Arial" w:hAnsi="Arial" w:cs="Arial"/>
          <w:sz w:val="22"/>
          <w:szCs w:val="22"/>
        </w:rPr>
        <w:t xml:space="preserve">             </w:t>
      </w:r>
      <w:r w:rsidR="006217D1">
        <w:rPr>
          <w:rFonts w:ascii="Arial" w:hAnsi="Arial" w:cs="Arial"/>
          <w:sz w:val="22"/>
          <w:szCs w:val="22"/>
        </w:rPr>
        <w:t xml:space="preserve"> </w:t>
      </w:r>
      <w:r w:rsidR="00D16EF6">
        <w:rPr>
          <w:rFonts w:ascii="Arial" w:hAnsi="Arial" w:cs="Arial"/>
          <w:sz w:val="22"/>
          <w:szCs w:val="22"/>
        </w:rPr>
        <w:t>by 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7797"/>
      </w:tblGrid>
      <w:tr w:rsidR="00545BF5" w:rsidRPr="00545BF5" w:rsidTr="00F319BD">
        <w:trPr>
          <w:trHeight w:val="2220"/>
          <w:jc w:val="center"/>
        </w:trPr>
        <w:tc>
          <w:tcPr>
            <w:tcW w:w="779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4C06F2" w:rsidP="00631543">
            <w:pPr>
              <w:tabs>
                <w:tab w:val="num" w:pos="624"/>
              </w:tabs>
              <w:ind w:right="140"/>
              <w:jc w:val="center"/>
              <w:rPr>
                <w:b/>
                <w:bCs/>
                <w:rtl/>
              </w:rPr>
            </w:pPr>
            <w:r>
              <w:rPr>
                <w:b/>
                <w:bCs/>
              </w:rPr>
              <w:t>Camps has the Highest Housing Density</w:t>
            </w:r>
          </w:p>
        </w:tc>
      </w:tr>
    </w:tbl>
    <w:p w:rsidR="004C06F2" w:rsidRDefault="004C06F2" w:rsidP="004C06F2">
      <w:pPr>
        <w:jc w:val="center"/>
      </w:pPr>
    </w:p>
    <w:p w:rsidR="004C06F2" w:rsidRDefault="004C06F2" w:rsidP="00D27021">
      <w:pPr>
        <w:jc w:val="both"/>
        <w:rPr>
          <w:rFonts w:asciiTheme="majorBidi" w:hAnsiTheme="majorBidi" w:cstheme="majorBidi"/>
        </w:rPr>
      </w:pPr>
      <w:r>
        <w:t>Average housing density (number of persons per room) in</w:t>
      </w:r>
      <w:r w:rsidR="008A601E">
        <w:t xml:space="preserve"> Tulkarm</w:t>
      </w:r>
      <w:r w:rsidR="001760E8">
        <w:t xml:space="preserve">  </w:t>
      </w:r>
      <w:r w:rsidR="00A85FC9">
        <w:t>Governorate</w:t>
      </w:r>
      <w:r w:rsidR="00AA2F10">
        <w:t xml:space="preserve"> </w:t>
      </w:r>
      <w:r w:rsidR="00A94AA0">
        <w:t>are</w:t>
      </w:r>
      <w:r w:rsidR="00093115">
        <w:t xml:space="preserve"> </w:t>
      </w:r>
      <w:r w:rsidR="008A3423">
        <w:t>1.</w:t>
      </w:r>
      <w:r w:rsidR="00327FD9">
        <w:t>3</w:t>
      </w:r>
      <w:r>
        <w:rPr>
          <w:rFonts w:hint="cs"/>
          <w:rtl/>
        </w:rPr>
        <w:t xml:space="preserve"> </w:t>
      </w:r>
      <w:r>
        <w:t>person per room</w:t>
      </w:r>
      <w:r w:rsidR="000304CD">
        <w:t xml:space="preserve">, which is the same </w:t>
      </w:r>
      <w:r w:rsidR="001760E8">
        <w:t xml:space="preserve">in Urban and </w:t>
      </w:r>
      <w:r w:rsidR="000304CD">
        <w:t xml:space="preserve">in </w:t>
      </w:r>
      <w:r w:rsidR="00A55605">
        <w:t xml:space="preserve">Rural </w:t>
      </w:r>
      <w:r w:rsidR="001760E8">
        <w:t>1.2</w:t>
      </w:r>
      <w:r w:rsidR="000304CD">
        <w:t>, and reached</w:t>
      </w:r>
      <w:r>
        <w:t xml:space="preserve"> </w:t>
      </w:r>
      <w:r w:rsidR="00093115">
        <w:t>1</w:t>
      </w:r>
      <w:r>
        <w:rPr>
          <w:rFonts w:hint="cs"/>
          <w:rtl/>
        </w:rPr>
        <w:t>.</w:t>
      </w:r>
      <w:r w:rsidR="001760E8">
        <w:t>7</w:t>
      </w:r>
      <w:r>
        <w:t xml:space="preserve"> person per room </w:t>
      </w:r>
      <w:r w:rsidR="000304CD">
        <w:t xml:space="preserve">in </w:t>
      </w:r>
      <w:r w:rsidR="0035261A">
        <w:t>c</w:t>
      </w:r>
      <w:r w:rsidR="000304CD">
        <w:t>amps.</w:t>
      </w:r>
      <w:r>
        <w:t xml:space="preserve">  The results also</w:t>
      </w:r>
      <w:r w:rsidR="00FB32CD">
        <w:t xml:space="preserve"> indicate</w:t>
      </w:r>
      <w:r w:rsidR="000304CD">
        <w:t>d</w:t>
      </w:r>
      <w:r>
        <w:t xml:space="preserve"> that </w:t>
      </w:r>
      <w:r w:rsidR="001760E8">
        <w:t>4.2</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1760E8">
        <w:t>3.0</w:t>
      </w:r>
      <w:r>
        <w:t xml:space="preserve">% in </w:t>
      </w:r>
      <w:r w:rsidR="0035261A">
        <w:t>u</w:t>
      </w:r>
      <w:r>
        <w:t>rban</w:t>
      </w:r>
      <w:r w:rsidR="00770A68">
        <w:t xml:space="preserve"> compared to </w:t>
      </w:r>
      <w:r w:rsidR="001760E8">
        <w:t>2.8</w:t>
      </w:r>
      <w:r>
        <w:t xml:space="preserve">% </w:t>
      </w:r>
      <w:r w:rsidR="00770A68">
        <w:t xml:space="preserve"> in </w:t>
      </w:r>
      <w:r w:rsidR="0035261A">
        <w:t>r</w:t>
      </w:r>
      <w:r>
        <w:t xml:space="preserve">ural, </w:t>
      </w:r>
      <w:r w:rsidR="00770A68">
        <w:t>and</w:t>
      </w:r>
      <w:r w:rsidR="003266F9">
        <w:t xml:space="preserve"> </w:t>
      </w:r>
      <w:r w:rsidR="001760E8">
        <w:t>17.1</w:t>
      </w:r>
      <w:r w:rsidR="00770A68">
        <w:t>%</w:t>
      </w:r>
      <w:r w:rsidR="003266F9">
        <w:t xml:space="preserve"> in </w:t>
      </w:r>
      <w:r w:rsidR="0035261A">
        <w:t>c</w:t>
      </w:r>
      <w:r w:rsidR="003266F9">
        <w:t>amps</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4C06F2" w:rsidRDefault="004C06F2" w:rsidP="004C06F2">
      <w:pPr>
        <w:jc w:val="both"/>
        <w:rPr>
          <w:b/>
          <w:bCs/>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210AAA" w:rsidP="00010690">
            <w:pPr>
              <w:tabs>
                <w:tab w:val="num" w:pos="624"/>
              </w:tabs>
              <w:ind w:right="140"/>
              <w:jc w:val="center"/>
              <w:rPr>
                <w:b/>
                <w:bCs/>
                <w:rtl/>
              </w:rPr>
            </w:pPr>
            <w:r>
              <w:rPr>
                <w:b/>
                <w:bCs/>
              </w:rPr>
              <w:t>99.9</w:t>
            </w:r>
            <w:r w:rsidR="00570F28">
              <w:rPr>
                <w:b/>
                <w:bCs/>
              </w:rPr>
              <w:t>% of Households Use</w:t>
            </w:r>
            <w:r w:rsidR="00010690" w:rsidRPr="00010690">
              <w:rPr>
                <w:b/>
                <w:bCs/>
              </w:rPr>
              <w:t xml:space="preserve"> Improved Drinking </w:t>
            </w:r>
            <w:r w:rsidR="00687D47">
              <w:rPr>
                <w:b/>
                <w:bCs/>
              </w:rPr>
              <w:t xml:space="preserve">Water Source </w:t>
            </w:r>
          </w:p>
        </w:tc>
      </w:tr>
    </w:tbl>
    <w:p w:rsidR="00687D47" w:rsidRPr="00D02E92" w:rsidRDefault="00687D47" w:rsidP="00687D47">
      <w:pPr>
        <w:ind w:left="-11"/>
        <w:jc w:val="both"/>
        <w:rPr>
          <w:b/>
          <w:bCs/>
        </w:rPr>
      </w:pPr>
    </w:p>
    <w:p w:rsidR="00030D42" w:rsidRDefault="00687D47" w:rsidP="00F40EDC">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210AAA">
        <w:t>38,587</w:t>
      </w:r>
      <w:r w:rsidR="00F81A52">
        <w:t xml:space="preserve"> </w:t>
      </w:r>
      <w:r>
        <w:t xml:space="preserve">households; </w:t>
      </w:r>
      <w:r w:rsidR="00C04021">
        <w:t xml:space="preserve"> distributed in urban, rural and camps respectively as follows </w:t>
      </w:r>
      <w:r w:rsidR="00210AAA">
        <w:t>28,594</w:t>
      </w:r>
      <w:r w:rsidR="008A3423">
        <w:t>,</w:t>
      </w:r>
      <w:r w:rsidRPr="00D02E92">
        <w:t xml:space="preserve"> </w:t>
      </w:r>
      <w:r w:rsidR="00210AAA">
        <w:t>6,593</w:t>
      </w:r>
      <w:r w:rsidR="00030D42">
        <w:rPr>
          <w:rFonts w:hint="cs"/>
          <w:rtl/>
        </w:rPr>
        <w:t xml:space="preserve"> </w:t>
      </w:r>
      <w:r w:rsidR="00030D42">
        <w:t xml:space="preserve">and </w:t>
      </w:r>
      <w:r w:rsidR="00210AAA">
        <w:t>3,400</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A856A0">
      <w:pPr>
        <w:jc w:val="both"/>
        <w:rPr>
          <w:rtl/>
        </w:rPr>
      </w:pPr>
    </w:p>
    <w:p w:rsidR="00451C46" w:rsidRDefault="00FC46EC" w:rsidP="007B4986">
      <w:pPr>
        <w:jc w:val="both"/>
      </w:pPr>
      <w:r>
        <w:t>99.9</w:t>
      </w:r>
      <w:r w:rsidR="00306C1B">
        <w:t>%</w:t>
      </w:r>
      <w:r w:rsidR="00030D42">
        <w:t xml:space="preserve"> of households </w:t>
      </w:r>
      <w:r w:rsidR="00687D47" w:rsidRPr="00D02E92">
        <w:t xml:space="preserve">use </w:t>
      </w:r>
      <w:r w:rsidR="00687D47">
        <w:t>an</w:t>
      </w:r>
      <w:r w:rsidR="00010690" w:rsidRPr="00010690">
        <w:t xml:space="preserve"> Improved </w:t>
      </w:r>
      <w:r w:rsidR="00010690">
        <w:t xml:space="preserve"> </w:t>
      </w:r>
      <w:r w:rsidR="00010690" w:rsidRPr="00010690">
        <w:t xml:space="preserve">Drinking </w:t>
      </w:r>
      <w:r w:rsidR="007B4986">
        <w:t xml:space="preserve"> </w:t>
      </w:r>
      <w:r w:rsidR="00687D47" w:rsidRPr="00D02E92">
        <w:t>water</w:t>
      </w:r>
      <w:r w:rsidR="00687D47">
        <w:t xml:space="preserve"> </w:t>
      </w:r>
      <w:r w:rsidR="007B4986">
        <w:t xml:space="preserve"> </w:t>
      </w:r>
      <w:r w:rsidR="00687D47">
        <w:t xml:space="preserve">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4C4141">
        <w:t xml:space="preserve">, </w:t>
      </w:r>
      <w:r>
        <w:t xml:space="preserve"> and</w:t>
      </w:r>
      <w:r w:rsidRPr="00FC46EC">
        <w:t xml:space="preserve"> </w:t>
      </w:r>
      <w:r>
        <w:t>which is the same in Urban and in Rural</w:t>
      </w:r>
      <w:r w:rsidR="00030D42">
        <w:t xml:space="preserve">, </w:t>
      </w:r>
      <w:r w:rsidR="00C42288">
        <w:t>compared</w:t>
      </w:r>
      <w:r w:rsidR="00030D42">
        <w:t xml:space="preserve"> to </w:t>
      </w:r>
      <w:r w:rsidR="0055516E">
        <w:t>100</w:t>
      </w:r>
      <w:r w:rsidR="00521A4E">
        <w:t>% in Camps</w:t>
      </w:r>
      <w:r w:rsidR="00C42288">
        <w:t xml:space="preserve"> </w:t>
      </w:r>
      <w:r w:rsidR="00687D47" w:rsidRPr="00A856A0">
        <w:t xml:space="preserve">(see table </w:t>
      </w:r>
      <w:r w:rsidR="00E44301" w:rsidRPr="00A856A0">
        <w:t>6</w:t>
      </w:r>
      <w:r w:rsidR="00521A4E" w:rsidRPr="00A856A0">
        <w:t>)</w:t>
      </w:r>
      <w:r w:rsidR="0035261A">
        <w:t>.</w:t>
      </w:r>
      <w:r w:rsidR="00451C46">
        <w:t xml:space="preserve"> </w:t>
      </w:r>
    </w:p>
    <w:p w:rsidR="00F81A52" w:rsidRDefault="00F81A52" w:rsidP="00F81A52">
      <w:pPr>
        <w:jc w:val="both"/>
      </w:pPr>
    </w:p>
    <w:p w:rsidR="00805FB8" w:rsidRPr="00F319BD" w:rsidRDefault="00451C46" w:rsidP="00F401D8">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 xml:space="preserve">in </w:t>
      </w:r>
      <w:r w:rsidR="008A601E">
        <w:rPr>
          <w:rFonts w:ascii="Arial" w:hAnsi="Arial" w:cs="Arial"/>
          <w:b/>
          <w:bCs/>
          <w:sz w:val="22"/>
          <w:szCs w:val="22"/>
        </w:rPr>
        <w:t>Tulkarm</w:t>
      </w:r>
      <w:r w:rsidR="004C4141">
        <w:rPr>
          <w:rFonts w:ascii="Arial" w:hAnsi="Arial" w:cs="Arial"/>
          <w:b/>
          <w:bCs/>
          <w:sz w:val="22"/>
          <w:szCs w:val="22"/>
        </w:rPr>
        <w:t xml:space="preserve"> </w:t>
      </w:r>
      <w:r w:rsidR="00A85FC9">
        <w:rPr>
          <w:rFonts w:ascii="Arial" w:hAnsi="Arial" w:cs="Arial"/>
          <w:b/>
          <w:bCs/>
          <w:sz w:val="22"/>
          <w:szCs w:val="22"/>
        </w:rPr>
        <w:t>Governorate</w:t>
      </w:r>
      <w:r w:rsidRPr="00F319BD">
        <w:rPr>
          <w:rFonts w:ascii="Arial" w:hAnsi="Arial" w:cs="Arial"/>
          <w:b/>
          <w:bCs/>
          <w:sz w:val="22"/>
          <w:szCs w:val="22"/>
        </w:rPr>
        <w:t xml:space="preserve"> by Main Source of Drinking </w:t>
      </w:r>
      <w:r w:rsidR="00F401D8">
        <w:rPr>
          <w:rFonts w:ascii="Arial" w:hAnsi="Arial" w:cs="Arial"/>
          <w:b/>
          <w:bCs/>
          <w:sz w:val="22"/>
          <w:szCs w:val="22"/>
        </w:rPr>
        <w:t xml:space="preserve">           </w:t>
      </w:r>
      <w:r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2694"/>
      </w:tblGrid>
      <w:tr w:rsidR="003A6526" w:rsidRPr="00810186" w:rsidTr="00F401D8">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AC4EDE" w:rsidRPr="00810186" w:rsidTr="00F401D8">
        <w:trPr>
          <w:trHeight w:val="340"/>
          <w:jc w:val="center"/>
        </w:trPr>
        <w:tc>
          <w:tcPr>
            <w:tcW w:w="5750" w:type="dxa"/>
            <w:tcBorders>
              <w:bottom w:val="nil"/>
            </w:tcBorders>
            <w:shd w:val="clear" w:color="auto" w:fill="FFFFFF" w:themeFill="background1"/>
            <w:vAlign w:val="center"/>
          </w:tcPr>
          <w:p w:rsidR="00AC4EDE" w:rsidRDefault="00AC4EDE">
            <w:pPr>
              <w:rPr>
                <w:rFonts w:ascii="Arial" w:hAnsi="Arial" w:cs="Arial"/>
                <w:color w:val="000000"/>
                <w:sz w:val="18"/>
                <w:szCs w:val="18"/>
              </w:rPr>
            </w:pPr>
            <w:r>
              <w:rPr>
                <w:rFonts w:ascii="Arial" w:hAnsi="Arial" w:cs="Arial"/>
                <w:color w:val="000000"/>
                <w:sz w:val="18"/>
                <w:szCs w:val="18"/>
              </w:rPr>
              <w:t xml:space="preserve">Piped Into Dwelling </w:t>
            </w:r>
          </w:p>
        </w:tc>
        <w:tc>
          <w:tcPr>
            <w:tcW w:w="2694" w:type="dxa"/>
            <w:tcBorders>
              <w:bottom w:val="nil"/>
            </w:tcBorders>
          </w:tcPr>
          <w:p w:rsidR="00AC4EDE" w:rsidRDefault="00AC4EDE" w:rsidP="00AC4EDE">
            <w:pPr>
              <w:jc w:val="center"/>
              <w:rPr>
                <w:rFonts w:ascii="Arial" w:hAnsi="Arial" w:cs="Arial"/>
                <w:color w:val="000000"/>
                <w:sz w:val="18"/>
                <w:szCs w:val="18"/>
              </w:rPr>
            </w:pPr>
            <w:r>
              <w:rPr>
                <w:rFonts w:ascii="Arial" w:hAnsi="Arial" w:cs="Arial"/>
                <w:color w:val="000000"/>
                <w:sz w:val="18"/>
                <w:szCs w:val="18"/>
              </w:rPr>
              <w:t>38,587</w:t>
            </w:r>
          </w:p>
        </w:tc>
      </w:tr>
      <w:tr w:rsidR="00AC4EDE" w:rsidRPr="00810186" w:rsidTr="00F401D8">
        <w:trPr>
          <w:trHeight w:val="340"/>
          <w:jc w:val="center"/>
        </w:trPr>
        <w:tc>
          <w:tcPr>
            <w:tcW w:w="5750" w:type="dxa"/>
            <w:tcBorders>
              <w:top w:val="nil"/>
              <w:bottom w:val="nil"/>
            </w:tcBorders>
            <w:shd w:val="clear" w:color="auto" w:fill="FFFFFF" w:themeFill="background1"/>
            <w:vAlign w:val="center"/>
          </w:tcPr>
          <w:p w:rsidR="00AC4EDE" w:rsidRDefault="00AC4EDE">
            <w:pPr>
              <w:rPr>
                <w:rFonts w:ascii="Arial" w:hAnsi="Arial" w:cs="Arial"/>
                <w:color w:val="000000"/>
                <w:sz w:val="18"/>
                <w:szCs w:val="18"/>
              </w:rPr>
            </w:pPr>
            <w:r>
              <w:rPr>
                <w:rFonts w:ascii="Arial" w:hAnsi="Arial" w:cs="Arial"/>
                <w:color w:val="000000"/>
                <w:sz w:val="18"/>
                <w:szCs w:val="18"/>
              </w:rPr>
              <w:t>Protected Dug Well/Protected Spring</w:t>
            </w:r>
          </w:p>
        </w:tc>
        <w:tc>
          <w:tcPr>
            <w:tcW w:w="2694" w:type="dxa"/>
            <w:tcBorders>
              <w:top w:val="nil"/>
              <w:bottom w:val="nil"/>
            </w:tcBorders>
          </w:tcPr>
          <w:p w:rsidR="00AC4EDE" w:rsidRDefault="00AC4EDE" w:rsidP="00AC4EDE">
            <w:pPr>
              <w:jc w:val="center"/>
              <w:rPr>
                <w:rFonts w:ascii="Arial" w:hAnsi="Arial" w:cs="Arial"/>
                <w:color w:val="000000"/>
                <w:sz w:val="18"/>
                <w:szCs w:val="18"/>
              </w:rPr>
            </w:pPr>
            <w:r>
              <w:rPr>
                <w:rFonts w:ascii="Arial" w:hAnsi="Arial" w:cs="Arial"/>
                <w:color w:val="000000"/>
                <w:sz w:val="18"/>
                <w:szCs w:val="18"/>
              </w:rPr>
              <w:t>449</w:t>
            </w:r>
          </w:p>
        </w:tc>
      </w:tr>
      <w:tr w:rsidR="00AC4EDE" w:rsidRPr="00810186" w:rsidTr="00F401D8">
        <w:trPr>
          <w:trHeight w:val="340"/>
          <w:jc w:val="center"/>
        </w:trPr>
        <w:tc>
          <w:tcPr>
            <w:tcW w:w="5750" w:type="dxa"/>
            <w:tcBorders>
              <w:top w:val="nil"/>
              <w:bottom w:val="nil"/>
            </w:tcBorders>
            <w:shd w:val="clear" w:color="auto" w:fill="FFFFFF" w:themeFill="background1"/>
            <w:vAlign w:val="center"/>
          </w:tcPr>
          <w:p w:rsidR="00AC4EDE" w:rsidRDefault="00AC4EDE">
            <w:pPr>
              <w:bidi/>
              <w:jc w:val="right"/>
              <w:rPr>
                <w:rFonts w:ascii="Arial" w:hAnsi="Arial" w:cs="Arial"/>
                <w:color w:val="000000"/>
                <w:sz w:val="18"/>
                <w:szCs w:val="18"/>
              </w:rPr>
            </w:pPr>
            <w:r>
              <w:rPr>
                <w:rFonts w:ascii="Arial" w:hAnsi="Arial" w:cs="Arial"/>
                <w:color w:val="000000"/>
                <w:sz w:val="18"/>
                <w:szCs w:val="18"/>
              </w:rPr>
              <w:t>Bottled Water</w:t>
            </w:r>
          </w:p>
        </w:tc>
        <w:tc>
          <w:tcPr>
            <w:tcW w:w="2694" w:type="dxa"/>
            <w:tcBorders>
              <w:top w:val="nil"/>
              <w:bottom w:val="nil"/>
            </w:tcBorders>
          </w:tcPr>
          <w:p w:rsidR="00AC4EDE" w:rsidRDefault="00AC4EDE" w:rsidP="00AC4EDE">
            <w:pPr>
              <w:jc w:val="center"/>
              <w:rPr>
                <w:rFonts w:ascii="Arial" w:hAnsi="Arial" w:cs="Arial"/>
                <w:color w:val="000000"/>
                <w:sz w:val="18"/>
                <w:szCs w:val="18"/>
              </w:rPr>
            </w:pPr>
            <w:r>
              <w:rPr>
                <w:rFonts w:ascii="Arial" w:hAnsi="Arial" w:cs="Arial"/>
                <w:color w:val="000000"/>
                <w:sz w:val="18"/>
                <w:szCs w:val="18"/>
              </w:rPr>
              <w:t>172</w:t>
            </w:r>
          </w:p>
        </w:tc>
      </w:tr>
      <w:tr w:rsidR="00AC4EDE" w:rsidRPr="00810186" w:rsidTr="00F401D8">
        <w:trPr>
          <w:trHeight w:val="340"/>
          <w:jc w:val="center"/>
        </w:trPr>
        <w:tc>
          <w:tcPr>
            <w:tcW w:w="5750" w:type="dxa"/>
            <w:tcBorders>
              <w:top w:val="nil"/>
              <w:bottom w:val="nil"/>
            </w:tcBorders>
            <w:shd w:val="clear" w:color="auto" w:fill="FFFFFF" w:themeFill="background1"/>
            <w:vAlign w:val="center"/>
          </w:tcPr>
          <w:p w:rsidR="00AC4EDE" w:rsidRDefault="00AC4EDE">
            <w:pPr>
              <w:bidi/>
              <w:jc w:val="right"/>
              <w:rPr>
                <w:rFonts w:ascii="Arial" w:hAnsi="Arial" w:cs="Arial"/>
                <w:color w:val="000000"/>
                <w:sz w:val="18"/>
                <w:szCs w:val="18"/>
              </w:rPr>
            </w:pPr>
            <w:r>
              <w:rPr>
                <w:rFonts w:ascii="Arial" w:hAnsi="Arial" w:cs="Arial"/>
                <w:color w:val="000000"/>
                <w:sz w:val="18"/>
                <w:szCs w:val="18"/>
              </w:rPr>
              <w:t>Rainwater</w:t>
            </w:r>
          </w:p>
        </w:tc>
        <w:tc>
          <w:tcPr>
            <w:tcW w:w="2694" w:type="dxa"/>
            <w:tcBorders>
              <w:top w:val="nil"/>
              <w:bottom w:val="nil"/>
            </w:tcBorders>
          </w:tcPr>
          <w:p w:rsidR="00AC4EDE" w:rsidRDefault="00AC4EDE" w:rsidP="00AC4EDE">
            <w:pPr>
              <w:jc w:val="center"/>
              <w:rPr>
                <w:rFonts w:ascii="Arial" w:hAnsi="Arial" w:cs="Arial"/>
                <w:color w:val="000000"/>
                <w:sz w:val="18"/>
                <w:szCs w:val="18"/>
              </w:rPr>
            </w:pPr>
            <w:r>
              <w:rPr>
                <w:rFonts w:ascii="Arial" w:hAnsi="Arial" w:cs="Arial"/>
                <w:color w:val="000000"/>
                <w:sz w:val="18"/>
                <w:szCs w:val="18"/>
              </w:rPr>
              <w:t>120</w:t>
            </w:r>
          </w:p>
        </w:tc>
      </w:tr>
      <w:tr w:rsidR="00AC4EDE" w:rsidRPr="00810186" w:rsidTr="00F401D8">
        <w:trPr>
          <w:trHeight w:val="340"/>
          <w:jc w:val="center"/>
        </w:trPr>
        <w:tc>
          <w:tcPr>
            <w:tcW w:w="5750" w:type="dxa"/>
            <w:tcBorders>
              <w:top w:val="nil"/>
              <w:bottom w:val="nil"/>
            </w:tcBorders>
            <w:shd w:val="clear" w:color="auto" w:fill="FFFFFF" w:themeFill="background1"/>
            <w:vAlign w:val="center"/>
          </w:tcPr>
          <w:p w:rsidR="00AC4EDE" w:rsidRDefault="00AC4EDE">
            <w:pPr>
              <w:bidi/>
              <w:jc w:val="right"/>
              <w:rPr>
                <w:rFonts w:ascii="Arial" w:hAnsi="Arial" w:cs="Arial"/>
                <w:color w:val="000000"/>
                <w:sz w:val="18"/>
                <w:szCs w:val="18"/>
              </w:rPr>
            </w:pPr>
            <w:r>
              <w:rPr>
                <w:rFonts w:ascii="Arial" w:hAnsi="Arial" w:cs="Arial"/>
                <w:color w:val="000000"/>
                <w:sz w:val="18"/>
                <w:szCs w:val="18"/>
              </w:rPr>
              <w:t>Tanker Truck/Cart With Small Tank</w:t>
            </w:r>
          </w:p>
        </w:tc>
        <w:tc>
          <w:tcPr>
            <w:tcW w:w="2694" w:type="dxa"/>
            <w:tcBorders>
              <w:top w:val="nil"/>
              <w:bottom w:val="nil"/>
            </w:tcBorders>
          </w:tcPr>
          <w:p w:rsidR="00AC4EDE" w:rsidRDefault="00AC4EDE" w:rsidP="00AC4EDE">
            <w:pPr>
              <w:jc w:val="center"/>
              <w:rPr>
                <w:rFonts w:ascii="Arial" w:hAnsi="Arial" w:cs="Arial"/>
                <w:color w:val="000000"/>
                <w:sz w:val="18"/>
                <w:szCs w:val="18"/>
              </w:rPr>
            </w:pPr>
            <w:r>
              <w:rPr>
                <w:rFonts w:ascii="Arial" w:hAnsi="Arial" w:cs="Arial"/>
                <w:color w:val="000000"/>
                <w:sz w:val="18"/>
                <w:szCs w:val="18"/>
              </w:rPr>
              <w:t>13</w:t>
            </w:r>
          </w:p>
        </w:tc>
      </w:tr>
      <w:tr w:rsidR="00AC4EDE" w:rsidRPr="00810186" w:rsidTr="00F401D8">
        <w:trPr>
          <w:trHeight w:val="340"/>
          <w:jc w:val="center"/>
        </w:trPr>
        <w:tc>
          <w:tcPr>
            <w:tcW w:w="5750" w:type="dxa"/>
            <w:tcBorders>
              <w:top w:val="nil"/>
              <w:bottom w:val="nil"/>
            </w:tcBorders>
            <w:shd w:val="clear" w:color="auto" w:fill="FFFFFF" w:themeFill="background1"/>
            <w:vAlign w:val="center"/>
          </w:tcPr>
          <w:p w:rsidR="00AC4EDE" w:rsidRDefault="00AC4EDE">
            <w:pPr>
              <w:bidi/>
              <w:jc w:val="right"/>
              <w:rPr>
                <w:rFonts w:ascii="Arial" w:hAnsi="Arial" w:cs="Arial"/>
                <w:color w:val="000000"/>
                <w:sz w:val="18"/>
                <w:szCs w:val="18"/>
              </w:rPr>
            </w:pPr>
            <w:r>
              <w:rPr>
                <w:rFonts w:ascii="Arial" w:hAnsi="Arial" w:cs="Arial"/>
                <w:color w:val="000000"/>
                <w:sz w:val="18"/>
                <w:szCs w:val="18"/>
              </w:rPr>
              <w:t>Unprotected Dug Well/Unprotected Spring</w:t>
            </w:r>
          </w:p>
        </w:tc>
        <w:tc>
          <w:tcPr>
            <w:tcW w:w="2694" w:type="dxa"/>
            <w:tcBorders>
              <w:top w:val="nil"/>
              <w:bottom w:val="nil"/>
            </w:tcBorders>
          </w:tcPr>
          <w:p w:rsidR="00AC4EDE" w:rsidRDefault="00AC4EDE" w:rsidP="00AC4EDE">
            <w:pPr>
              <w:jc w:val="center"/>
              <w:rPr>
                <w:rFonts w:ascii="Arial" w:hAnsi="Arial" w:cs="Arial"/>
                <w:color w:val="000000"/>
                <w:sz w:val="18"/>
                <w:szCs w:val="18"/>
              </w:rPr>
            </w:pPr>
            <w:r>
              <w:rPr>
                <w:rFonts w:ascii="Arial" w:hAnsi="Arial" w:cs="Arial"/>
                <w:color w:val="000000"/>
                <w:sz w:val="18"/>
                <w:szCs w:val="18"/>
              </w:rPr>
              <w:t>12</w:t>
            </w:r>
          </w:p>
        </w:tc>
      </w:tr>
      <w:tr w:rsidR="00AC4EDE" w:rsidRPr="00810186" w:rsidTr="00F401D8">
        <w:trPr>
          <w:trHeight w:val="340"/>
          <w:jc w:val="center"/>
        </w:trPr>
        <w:tc>
          <w:tcPr>
            <w:tcW w:w="5750" w:type="dxa"/>
            <w:tcBorders>
              <w:top w:val="nil"/>
              <w:bottom w:val="single" w:sz="4" w:space="0" w:color="auto"/>
            </w:tcBorders>
            <w:shd w:val="clear" w:color="auto" w:fill="FFFFFF" w:themeFill="background1"/>
            <w:vAlign w:val="center"/>
          </w:tcPr>
          <w:p w:rsidR="00AC4EDE" w:rsidRDefault="00AC4EDE">
            <w:pPr>
              <w:bidi/>
              <w:jc w:val="right"/>
              <w:rPr>
                <w:rFonts w:ascii="Arial" w:hAnsi="Arial" w:cs="Arial"/>
                <w:color w:val="000000"/>
                <w:sz w:val="18"/>
                <w:szCs w:val="18"/>
              </w:rPr>
            </w:pPr>
            <w:r>
              <w:rPr>
                <w:rFonts w:ascii="Arial" w:hAnsi="Arial" w:cs="Arial"/>
                <w:color w:val="000000"/>
                <w:sz w:val="18"/>
                <w:szCs w:val="18"/>
              </w:rPr>
              <w:t>Others</w:t>
            </w:r>
          </w:p>
        </w:tc>
        <w:tc>
          <w:tcPr>
            <w:tcW w:w="2694" w:type="dxa"/>
            <w:tcBorders>
              <w:top w:val="nil"/>
              <w:bottom w:val="single" w:sz="4" w:space="0" w:color="auto"/>
            </w:tcBorders>
          </w:tcPr>
          <w:p w:rsidR="00AC4EDE" w:rsidRDefault="00AC4EDE" w:rsidP="00AC4EDE">
            <w:pPr>
              <w:jc w:val="center"/>
              <w:rPr>
                <w:rFonts w:ascii="Arial" w:hAnsi="Arial" w:cs="Arial"/>
                <w:color w:val="000000"/>
                <w:sz w:val="18"/>
                <w:szCs w:val="18"/>
              </w:rPr>
            </w:pPr>
            <w:r>
              <w:rPr>
                <w:rFonts w:ascii="Arial" w:hAnsi="Arial" w:cs="Arial"/>
                <w:color w:val="000000"/>
                <w:sz w:val="18"/>
                <w:szCs w:val="18"/>
              </w:rPr>
              <w:t>5</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D05CCE" w:rsidRDefault="00D05CCE" w:rsidP="00E06434">
      <w:pPr>
        <w:jc w:val="both"/>
      </w:pPr>
      <w:r>
        <w:t>The Census findings showed that the majority of the occupied housing units in</w:t>
      </w:r>
      <w:r w:rsidR="008A601E">
        <w:t xml:space="preserve"> Tulkarm</w:t>
      </w:r>
      <w:r w:rsidR="000670D1">
        <w:t xml:space="preserve"> </w:t>
      </w:r>
      <w:r w:rsidR="00A85FC9">
        <w:t>Governorate</w:t>
      </w:r>
      <w:r>
        <w:t xml:space="preserve"> is supplied with electricity from the electricity network at</w:t>
      </w:r>
      <w:r w:rsidR="000670D1">
        <w:t xml:space="preserve"> around</w:t>
      </w:r>
      <w:r>
        <w:t xml:space="preserve"> </w:t>
      </w:r>
      <w:r w:rsidR="000670D1">
        <w:t>100</w:t>
      </w:r>
      <w:r>
        <w:t xml:space="preserve">% of the occupied housing units totaling </w:t>
      </w:r>
      <w:r w:rsidR="000670D1" w:rsidRPr="00F40EDC">
        <w:t>39,340</w:t>
      </w:r>
      <w:r w:rsidR="000670D1">
        <w:t xml:space="preserve"> </w:t>
      </w:r>
      <w:r>
        <w:t xml:space="preserve">housing unit. The housing units using electricity generators is </w:t>
      </w:r>
      <w:r w:rsidR="000670D1">
        <w:t>15</w:t>
      </w:r>
      <w:r>
        <w:t xml:space="preserve"> housing unit. On the other hand</w:t>
      </w:r>
      <w:r w:rsidR="000670D1">
        <w:t xml:space="preserve"> </w:t>
      </w:r>
      <w:r>
        <w:t xml:space="preserve"> </w:t>
      </w:r>
      <w:r w:rsidR="000670D1">
        <w:t>3</w:t>
      </w:r>
      <w:r>
        <w:t xml:space="preserve"> occupied housing units are not connected to the electricity network.</w:t>
      </w:r>
      <w:r w:rsidRPr="00E06434">
        <w:t xml:space="preserve"> (see table </w:t>
      </w:r>
      <w:r w:rsidR="008E4E18" w:rsidRPr="00E06434">
        <w:t>9</w:t>
      </w:r>
      <w:r w:rsidRPr="00E06434">
        <w:t>)</w:t>
      </w:r>
      <w:r w:rsidR="00884D80">
        <w:t>.</w:t>
      </w:r>
      <w:r>
        <w:t xml:space="preserve"> </w:t>
      </w:r>
    </w:p>
    <w:p w:rsidR="00805FB8" w:rsidRDefault="00805FB8" w:rsidP="00805FB8">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E06434">
      <w:pPr>
        <w:jc w:val="both"/>
        <w:rPr>
          <w:rFonts w:asciiTheme="majorBidi" w:hAnsiTheme="majorBidi" w:cstheme="majorBidi"/>
        </w:rPr>
      </w:pPr>
      <w:r>
        <w:t>Findings showed that the percentage of occupied housing units in</w:t>
      </w:r>
      <w:r w:rsidR="008A601E">
        <w:t xml:space="preserve"> Tulkarm</w:t>
      </w:r>
      <w:r w:rsidR="00E06434">
        <w:t xml:space="preserve"> </w:t>
      </w:r>
      <w:r w:rsidR="00A85FC9">
        <w:t xml:space="preserve">Governorate </w:t>
      </w:r>
      <w:r>
        <w:t xml:space="preserve"> which are connected </w:t>
      </w:r>
      <w:r w:rsidRPr="00292626">
        <w:t xml:space="preserve">to septik </w:t>
      </w:r>
      <w:r w:rsidR="00E06434">
        <w:t xml:space="preserve"> </w:t>
      </w:r>
      <w:r w:rsidRPr="00292626">
        <w:t>porous tank</w:t>
      </w:r>
      <w:r>
        <w:t xml:space="preserve"> or </w:t>
      </w:r>
      <w:r w:rsidRPr="00292626">
        <w:t xml:space="preserve">septik tight tank </w:t>
      </w:r>
      <w:r>
        <w:t xml:space="preserve">is </w:t>
      </w:r>
      <w:r w:rsidR="00E06434">
        <w:t>52.2</w:t>
      </w:r>
      <w:r>
        <w:t xml:space="preserve">%.  The percentage of occupied housing units which  connected </w:t>
      </w:r>
      <w:r w:rsidRPr="00AD5C2D">
        <w:t>to piped sew</w:t>
      </w:r>
      <w:r>
        <w:t>er</w:t>
      </w:r>
      <w:r w:rsidRPr="00AD5C2D">
        <w:t xml:space="preserve"> system </w:t>
      </w:r>
      <w:r>
        <w:t xml:space="preserve">is </w:t>
      </w:r>
      <w:r w:rsidR="00E06434">
        <w:t>47.7</w:t>
      </w:r>
      <w:r>
        <w:t>% and the percentage of occupied housing units that are</w:t>
      </w:r>
      <w:r>
        <w:rPr>
          <w:b/>
          <w:bCs/>
        </w:rPr>
        <w:t xml:space="preserve"> </w:t>
      </w:r>
      <w:r w:rsidRPr="005A3B44">
        <w:t>connected</w:t>
      </w:r>
      <w:r w:rsidRPr="00AD5C2D">
        <w:rPr>
          <w:b/>
          <w:bCs/>
        </w:rPr>
        <w:t xml:space="preserve"> </w:t>
      </w:r>
      <w:r w:rsidRPr="00AD5C2D">
        <w:t xml:space="preserve">to flush open drain </w:t>
      </w:r>
      <w:r>
        <w:t xml:space="preserve">or with </w:t>
      </w:r>
      <w:r w:rsidRPr="00AD5C2D">
        <w:t xml:space="preserve">no facility/bush/field is </w:t>
      </w:r>
      <w:r w:rsidR="00E06434">
        <w:t>0.1</w:t>
      </w:r>
      <w:r w:rsidRPr="00AD5C2D">
        <w:t>%.</w:t>
      </w:r>
      <w:r>
        <w:t xml:space="preserve"> </w:t>
      </w:r>
      <w:r>
        <w:rPr>
          <w:rFonts w:asciiTheme="majorBidi" w:hAnsiTheme="majorBidi" w:cstheme="majorBidi"/>
        </w:rPr>
        <w:t>(see table 11)</w:t>
      </w:r>
      <w:r w:rsidR="00F40EDC">
        <w:rPr>
          <w:rFonts w:asciiTheme="majorBidi" w:hAnsiTheme="majorBidi" w:cstheme="majorBidi"/>
        </w:rPr>
        <w:t>.</w:t>
      </w:r>
    </w:p>
    <w:p w:rsidR="008C60E8" w:rsidRDefault="008C60E8" w:rsidP="008C60E8">
      <w:pPr>
        <w:jc w:val="both"/>
      </w:pPr>
    </w:p>
    <w:p w:rsidR="00AE6CC1" w:rsidRDefault="00F40EDC" w:rsidP="00462315">
      <w:pPr>
        <w:jc w:val="center"/>
        <w:rPr>
          <w:rFonts w:cs="Simplified Arabic"/>
          <w:b/>
          <w:bCs/>
          <w:sz w:val="22"/>
          <w:szCs w:val="22"/>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462315">
        <w:rPr>
          <w:rFonts w:ascii="Arial" w:hAnsi="Arial" w:cs="Arial"/>
          <w:b/>
          <w:bCs/>
          <w:sz w:val="22"/>
          <w:szCs w:val="22"/>
        </w:rPr>
        <w:t xml:space="preserve"> </w:t>
      </w:r>
      <w:r w:rsidR="008A601E">
        <w:rPr>
          <w:rFonts w:ascii="Arial" w:hAnsi="Arial" w:cs="Arial"/>
          <w:b/>
          <w:bCs/>
          <w:sz w:val="22"/>
          <w:szCs w:val="22"/>
        </w:rPr>
        <w:t>Tulkarm</w:t>
      </w:r>
      <w:r w:rsidR="00E0643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462315">
        <w:rPr>
          <w:rFonts w:ascii="Arial" w:hAnsi="Arial" w:cs="Arial"/>
          <w:b/>
          <w:bCs/>
          <w:sz w:val="22"/>
          <w:szCs w:val="22"/>
        </w:rPr>
        <w:t xml:space="preserve">         </w:t>
      </w:r>
      <w:r w:rsidR="00F41C0A">
        <w:rPr>
          <w:rFonts w:ascii="Arial" w:hAnsi="Arial" w:cs="Arial"/>
          <w:b/>
          <w:bCs/>
          <w:sz w:val="22"/>
          <w:szCs w:val="22"/>
        </w:rPr>
        <w:t xml:space="preserve">Type 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513"/>
      </w:tblGrid>
      <w:tr w:rsidR="00AE6CC1" w:rsidTr="00A27553">
        <w:trPr>
          <w:trHeight w:val="3770"/>
          <w:jc w:val="center"/>
        </w:trPr>
        <w:tc>
          <w:tcPr>
            <w:tcW w:w="8513"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B9648D" w:rsidP="004F02EC">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C17994">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the </w:t>
            </w:r>
            <w:r w:rsidR="000A41B4">
              <w:rPr>
                <w:b/>
                <w:bCs/>
              </w:rPr>
              <w:t>L</w:t>
            </w:r>
            <w:r w:rsidRPr="00B9648D">
              <w:rPr>
                <w:b/>
                <w:bCs/>
              </w:rPr>
              <w:t xml:space="preserve">owest at the </w:t>
            </w:r>
            <w:r w:rsidR="00D42702">
              <w:rPr>
                <w:b/>
                <w:bCs/>
              </w:rPr>
              <w:t>H</w:t>
            </w:r>
            <w:r w:rsidRPr="00B9648D">
              <w:rPr>
                <w:b/>
                <w:bCs/>
              </w:rPr>
              <w:t xml:space="preserve">ouseholds living in the </w:t>
            </w:r>
            <w:r w:rsidR="00D42702" w:rsidRPr="00361F05">
              <w:rPr>
                <w:b/>
                <w:bCs/>
              </w:rPr>
              <w:t>Governorate</w:t>
            </w:r>
            <w:r w:rsidR="00D42702" w:rsidRPr="00D67F80">
              <w:t xml:space="preserve"> </w:t>
            </w:r>
            <w:r w:rsidR="00D42702">
              <w:rPr>
                <w:b/>
                <w:bCs/>
              </w:rPr>
              <w:t>C</w:t>
            </w:r>
            <w:r w:rsidRPr="00B9648D">
              <w:rPr>
                <w:b/>
                <w:bCs/>
              </w:rPr>
              <w:t xml:space="preserve">amp </w:t>
            </w:r>
          </w:p>
        </w:tc>
      </w:tr>
    </w:tbl>
    <w:p w:rsidR="003945CD" w:rsidRDefault="003945CD" w:rsidP="003945CD">
      <w:pPr>
        <w:ind w:hanging="11"/>
        <w:jc w:val="both"/>
      </w:pPr>
    </w:p>
    <w:p w:rsidR="00805FB8" w:rsidRDefault="00805FB8" w:rsidP="009D2A80">
      <w:pPr>
        <w:jc w:val="both"/>
      </w:pPr>
      <w:r>
        <w:t xml:space="preserve">According to the Census findings, gas/electric cookers, refrigerators, washing machines, and satellite dishes are available to most households in </w:t>
      </w:r>
      <w:r w:rsidR="008A601E">
        <w:t>Tulkarm</w:t>
      </w:r>
      <w:r w:rsidR="00C17994">
        <w:t xml:space="preserve"> </w:t>
      </w:r>
      <w:r w:rsidR="006D10C7">
        <w:t>Governorate</w:t>
      </w:r>
      <w:r w:rsidR="00D67F80">
        <w:t>.</w:t>
      </w:r>
    </w:p>
    <w:p w:rsidR="00805FB8" w:rsidRDefault="00805FB8" w:rsidP="00805FB8">
      <w:pPr>
        <w:jc w:val="both"/>
      </w:pPr>
    </w:p>
    <w:p w:rsidR="002238EC" w:rsidRDefault="00D67F80" w:rsidP="00C17994">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C17994">
        <w:t>33.6</w:t>
      </w:r>
      <w:r w:rsidR="002238EC" w:rsidRPr="003A3CDE">
        <w:t xml:space="preserve">% of </w:t>
      </w:r>
      <w:r w:rsidR="00C17994">
        <w:t xml:space="preserve"> </w:t>
      </w:r>
      <w:r w:rsidR="002238EC" w:rsidRPr="003A3CDE">
        <w:t xml:space="preserve">households in </w:t>
      </w:r>
      <w:r w:rsidR="008A601E">
        <w:t>Tulkarm</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C17994">
        <w:t>35.7</w:t>
      </w:r>
      <w:r w:rsidR="002238EC">
        <w:t xml:space="preserve">%,  </w:t>
      </w:r>
      <w:r w:rsidR="00C17994">
        <w:t>36.8</w:t>
      </w:r>
      <w:r w:rsidR="002238EC">
        <w:t xml:space="preserve">% and </w:t>
      </w:r>
      <w:r w:rsidR="00C17994">
        <w:t>9.8</w:t>
      </w:r>
      <w:r w:rsidR="002238EC">
        <w:t xml:space="preserve">% respectively). As for households have </w:t>
      </w:r>
      <w:r w:rsidR="002238EC" w:rsidRPr="00A45644">
        <w:t>TV/ LCD/ LED/ S-D screen</w:t>
      </w:r>
      <w:r w:rsidR="002238EC">
        <w:t xml:space="preserve"> results showed that  </w:t>
      </w:r>
      <w:r w:rsidR="00C17994">
        <w:t>71.4</w:t>
      </w:r>
      <w:r w:rsidR="002238EC">
        <w:t xml:space="preserve">%, of households have such goods, of which </w:t>
      </w:r>
      <w:r w:rsidR="00C17994">
        <w:t>73.3</w:t>
      </w:r>
      <w:r w:rsidR="002238EC">
        <w:t xml:space="preserve">%, </w:t>
      </w:r>
      <w:r w:rsidR="00C17994">
        <w:t>68.4</w:t>
      </w:r>
      <w:r w:rsidR="002238EC">
        <w:t xml:space="preserve">%, and </w:t>
      </w:r>
      <w:r w:rsidR="00C17994">
        <w:t>61.0</w:t>
      </w:r>
      <w:r w:rsidR="002238EC">
        <w:t>%  in urban, rural and camps respectively.</w:t>
      </w:r>
      <w:r w:rsidR="002238EC" w:rsidRPr="003A3CDE">
        <w:t xml:space="preserve"> </w:t>
      </w:r>
      <w:r w:rsidR="002238EC">
        <w:t xml:space="preserve"> </w:t>
      </w:r>
      <w:r w:rsidR="002238EC">
        <w:rPr>
          <w:rFonts w:asciiTheme="majorBidi" w:hAnsiTheme="majorBidi" w:cstheme="majorBidi"/>
        </w:rPr>
        <w:t>(see table</w:t>
      </w:r>
      <w:r w:rsidR="000016C6">
        <w:rPr>
          <w:rFonts w:asciiTheme="majorBidi" w:hAnsiTheme="majorBidi" w:cstheme="majorBidi"/>
        </w:rPr>
        <w:t>s</w:t>
      </w:r>
      <w:r w:rsidR="002238EC">
        <w:rPr>
          <w:rFonts w:asciiTheme="majorBidi" w:hAnsiTheme="majorBidi" w:cstheme="majorBidi"/>
        </w:rPr>
        <w:t xml:space="preserve"> 3</w:t>
      </w:r>
      <w:r w:rsidR="000016C6">
        <w:rPr>
          <w:rFonts w:asciiTheme="majorBidi" w:hAnsiTheme="majorBidi" w:cstheme="majorBidi"/>
        </w:rPr>
        <w:t>6</w:t>
      </w:r>
      <w:r w:rsidR="002238EC">
        <w:rPr>
          <w:rFonts w:asciiTheme="majorBidi" w:hAnsiTheme="majorBidi" w:cstheme="majorBidi"/>
        </w:rPr>
        <w:t>, 3</w:t>
      </w:r>
      <w:r w:rsidR="000016C6">
        <w:rPr>
          <w:rFonts w:asciiTheme="majorBidi" w:hAnsiTheme="majorBidi" w:cstheme="majorBidi"/>
        </w:rPr>
        <w:t>7</w:t>
      </w:r>
      <w:r w:rsidR="002238EC">
        <w:rPr>
          <w:rFonts w:asciiTheme="majorBidi" w:hAnsiTheme="majorBidi" w:cstheme="majorBidi"/>
        </w:rPr>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627" w:rsidRDefault="00B94627">
      <w:r>
        <w:separator/>
      </w:r>
    </w:p>
  </w:endnote>
  <w:endnote w:type="continuationSeparator" w:id="0">
    <w:p w:rsidR="00B94627" w:rsidRDefault="00B94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897F79" w:rsidRDefault="00897F79" w:rsidP="001640DB">
        <w:pPr>
          <w:pStyle w:val="Footer"/>
          <w:jc w:val="center"/>
          <w:rPr>
            <w:sz w:val="20"/>
            <w:szCs w:val="20"/>
          </w:rPr>
        </w:pPr>
      </w:p>
      <w:p w:rsidR="00897F79" w:rsidRDefault="00897F79" w:rsidP="001640DB">
        <w:pPr>
          <w:pStyle w:val="Footer"/>
          <w:jc w:val="center"/>
          <w:rPr>
            <w:sz w:val="20"/>
            <w:szCs w:val="20"/>
          </w:rPr>
        </w:pPr>
      </w:p>
      <w:p w:rsidR="00897F79" w:rsidRPr="00494B47" w:rsidRDefault="00897F79" w:rsidP="001640DB">
        <w:pPr>
          <w:pStyle w:val="Footer"/>
          <w:jc w:val="center"/>
          <w:rPr>
            <w:sz w:val="20"/>
            <w:szCs w:val="20"/>
          </w:rPr>
        </w:pPr>
        <w:r w:rsidRPr="00494B47">
          <w:rPr>
            <w:sz w:val="20"/>
            <w:szCs w:val="20"/>
          </w:rPr>
          <w:t>[</w:t>
        </w:r>
        <w:r w:rsidR="003D7B1E" w:rsidRPr="00494B47">
          <w:rPr>
            <w:sz w:val="20"/>
            <w:szCs w:val="20"/>
          </w:rPr>
          <w:fldChar w:fldCharType="begin"/>
        </w:r>
        <w:r w:rsidRPr="00494B47">
          <w:rPr>
            <w:sz w:val="20"/>
            <w:szCs w:val="20"/>
          </w:rPr>
          <w:instrText xml:space="preserve"> PAGE   \* MERGEFORMAT </w:instrText>
        </w:r>
        <w:r w:rsidR="003D7B1E" w:rsidRPr="00494B47">
          <w:rPr>
            <w:sz w:val="20"/>
            <w:szCs w:val="20"/>
          </w:rPr>
          <w:fldChar w:fldCharType="separate"/>
        </w:r>
        <w:r w:rsidR="00BF45FF">
          <w:rPr>
            <w:noProof/>
            <w:sz w:val="20"/>
            <w:szCs w:val="20"/>
          </w:rPr>
          <w:t>30</w:t>
        </w:r>
        <w:r w:rsidR="003D7B1E" w:rsidRPr="00494B47">
          <w:rPr>
            <w:sz w:val="20"/>
            <w:szCs w:val="20"/>
          </w:rPr>
          <w:fldChar w:fldCharType="end"/>
        </w:r>
        <w:r w:rsidRPr="00494B47">
          <w:rPr>
            <w:sz w:val="20"/>
            <w:szCs w:val="20"/>
          </w:rPr>
          <w:t>]</w:t>
        </w:r>
        <w:r>
          <w:rPr>
            <w:sz w:val="20"/>
            <w:szCs w:val="20"/>
          </w:rPr>
          <w:t xml:space="preserve"> </w:t>
        </w:r>
      </w:p>
    </w:sdtContent>
  </w:sdt>
  <w:p w:rsidR="00897F79" w:rsidRPr="00E661C7" w:rsidRDefault="00897F79"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627" w:rsidRDefault="00B94627">
      <w:r>
        <w:separator/>
      </w:r>
    </w:p>
  </w:footnote>
  <w:footnote w:type="continuationSeparator" w:id="0">
    <w:p w:rsidR="00B94627" w:rsidRDefault="00B946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F79" w:rsidRPr="004F318E" w:rsidRDefault="00897F79" w:rsidP="008A601E">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Tulkarm</w:t>
    </w:r>
    <w:r w:rsidRPr="0017019C">
      <w:rPr>
        <w:rFonts w:ascii="Arial" w:hAnsi="Arial" w:cs="Arial"/>
        <w:b w:val="0"/>
        <w:bCs w:val="0"/>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20"/>
  <w:displayHorizontalDrawingGridEvery w:val="2"/>
  <w:noPunctuationKerning/>
  <w:characterSpacingControl w:val="doNotCompress"/>
  <w:hdrShapeDefaults>
    <o:shapedefaults v:ext="edit" spidmax="242690"/>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0690"/>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E27"/>
    <w:rsid w:val="000370E2"/>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103F"/>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2348"/>
    <w:rsid w:val="00092634"/>
    <w:rsid w:val="00093115"/>
    <w:rsid w:val="00094847"/>
    <w:rsid w:val="00095AEA"/>
    <w:rsid w:val="00095EFF"/>
    <w:rsid w:val="00096D4F"/>
    <w:rsid w:val="00096EFF"/>
    <w:rsid w:val="00097C15"/>
    <w:rsid w:val="00097FF4"/>
    <w:rsid w:val="000A0877"/>
    <w:rsid w:val="000A0EA6"/>
    <w:rsid w:val="000A112C"/>
    <w:rsid w:val="000A1C0D"/>
    <w:rsid w:val="000A41B4"/>
    <w:rsid w:val="000A4209"/>
    <w:rsid w:val="000A492B"/>
    <w:rsid w:val="000A533B"/>
    <w:rsid w:val="000A6EC1"/>
    <w:rsid w:val="000A7F9B"/>
    <w:rsid w:val="000B079E"/>
    <w:rsid w:val="000B0B73"/>
    <w:rsid w:val="000B289A"/>
    <w:rsid w:val="000B2978"/>
    <w:rsid w:val="000B3E50"/>
    <w:rsid w:val="000B43D0"/>
    <w:rsid w:val="000B660E"/>
    <w:rsid w:val="000B7612"/>
    <w:rsid w:val="000C041A"/>
    <w:rsid w:val="000C0698"/>
    <w:rsid w:val="000C07BD"/>
    <w:rsid w:val="000C26B0"/>
    <w:rsid w:val="000C45BC"/>
    <w:rsid w:val="000C46D0"/>
    <w:rsid w:val="000C5EF7"/>
    <w:rsid w:val="000C6EE4"/>
    <w:rsid w:val="000C796E"/>
    <w:rsid w:val="000D1AFB"/>
    <w:rsid w:val="000D2A5A"/>
    <w:rsid w:val="000D2EAE"/>
    <w:rsid w:val="000D2F59"/>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124D"/>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38BC"/>
    <w:rsid w:val="001759D3"/>
    <w:rsid w:val="00175A86"/>
    <w:rsid w:val="001760E8"/>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679D"/>
    <w:rsid w:val="001C6985"/>
    <w:rsid w:val="001C6E63"/>
    <w:rsid w:val="001D0D6B"/>
    <w:rsid w:val="001D1165"/>
    <w:rsid w:val="001D1294"/>
    <w:rsid w:val="001D1642"/>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62C1"/>
    <w:rsid w:val="001F1392"/>
    <w:rsid w:val="001F1425"/>
    <w:rsid w:val="001F1454"/>
    <w:rsid w:val="001F1E33"/>
    <w:rsid w:val="001F2FD9"/>
    <w:rsid w:val="001F36B4"/>
    <w:rsid w:val="001F433D"/>
    <w:rsid w:val="001F7036"/>
    <w:rsid w:val="001F70F4"/>
    <w:rsid w:val="001F779C"/>
    <w:rsid w:val="00201404"/>
    <w:rsid w:val="00201770"/>
    <w:rsid w:val="00202FB4"/>
    <w:rsid w:val="00207150"/>
    <w:rsid w:val="002107B2"/>
    <w:rsid w:val="00210AAA"/>
    <w:rsid w:val="00211163"/>
    <w:rsid w:val="00211EE3"/>
    <w:rsid w:val="0021330A"/>
    <w:rsid w:val="00213F2B"/>
    <w:rsid w:val="002164C8"/>
    <w:rsid w:val="00217106"/>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1407"/>
    <w:rsid w:val="00231FC4"/>
    <w:rsid w:val="002359DF"/>
    <w:rsid w:val="00235DE1"/>
    <w:rsid w:val="00240CF8"/>
    <w:rsid w:val="002433E8"/>
    <w:rsid w:val="00243512"/>
    <w:rsid w:val="002437BF"/>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20B4"/>
    <w:rsid w:val="00282FEC"/>
    <w:rsid w:val="00283342"/>
    <w:rsid w:val="00283733"/>
    <w:rsid w:val="00284516"/>
    <w:rsid w:val="002847DF"/>
    <w:rsid w:val="002852BB"/>
    <w:rsid w:val="002856FE"/>
    <w:rsid w:val="00285C8E"/>
    <w:rsid w:val="0028646D"/>
    <w:rsid w:val="00290A0F"/>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79B"/>
    <w:rsid w:val="002D7B90"/>
    <w:rsid w:val="002E0A39"/>
    <w:rsid w:val="002E2502"/>
    <w:rsid w:val="002E2C0F"/>
    <w:rsid w:val="002E5332"/>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DD0"/>
    <w:rsid w:val="00332807"/>
    <w:rsid w:val="00332843"/>
    <w:rsid w:val="00333A92"/>
    <w:rsid w:val="00333B99"/>
    <w:rsid w:val="003360EC"/>
    <w:rsid w:val="0034171A"/>
    <w:rsid w:val="00341B29"/>
    <w:rsid w:val="003427B6"/>
    <w:rsid w:val="003435F0"/>
    <w:rsid w:val="00344594"/>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708"/>
    <w:rsid w:val="003850C0"/>
    <w:rsid w:val="00385D3C"/>
    <w:rsid w:val="00385EF4"/>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34"/>
    <w:rsid w:val="003A6526"/>
    <w:rsid w:val="003B0451"/>
    <w:rsid w:val="003B059C"/>
    <w:rsid w:val="003B10C0"/>
    <w:rsid w:val="003B114A"/>
    <w:rsid w:val="003B3DD7"/>
    <w:rsid w:val="003B5239"/>
    <w:rsid w:val="003B6206"/>
    <w:rsid w:val="003B641D"/>
    <w:rsid w:val="003B6C0B"/>
    <w:rsid w:val="003B7159"/>
    <w:rsid w:val="003B73DE"/>
    <w:rsid w:val="003C0BBD"/>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3091"/>
    <w:rsid w:val="003D36F9"/>
    <w:rsid w:val="003D571B"/>
    <w:rsid w:val="003D5DD4"/>
    <w:rsid w:val="003D7791"/>
    <w:rsid w:val="003D788E"/>
    <w:rsid w:val="003D7AE9"/>
    <w:rsid w:val="003D7B1E"/>
    <w:rsid w:val="003E0005"/>
    <w:rsid w:val="003E0CD9"/>
    <w:rsid w:val="003E0FE5"/>
    <w:rsid w:val="003E2562"/>
    <w:rsid w:val="003E28C4"/>
    <w:rsid w:val="003E29AA"/>
    <w:rsid w:val="003E311F"/>
    <w:rsid w:val="003E394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7096"/>
    <w:rsid w:val="00407D4B"/>
    <w:rsid w:val="0041016D"/>
    <w:rsid w:val="00410C7C"/>
    <w:rsid w:val="00411767"/>
    <w:rsid w:val="00413313"/>
    <w:rsid w:val="004139C0"/>
    <w:rsid w:val="00413FD1"/>
    <w:rsid w:val="00415F5F"/>
    <w:rsid w:val="0042043A"/>
    <w:rsid w:val="00420A5D"/>
    <w:rsid w:val="00421421"/>
    <w:rsid w:val="00421D5E"/>
    <w:rsid w:val="004235AA"/>
    <w:rsid w:val="00423E4A"/>
    <w:rsid w:val="004240F4"/>
    <w:rsid w:val="00424388"/>
    <w:rsid w:val="00425BD7"/>
    <w:rsid w:val="00425C52"/>
    <w:rsid w:val="0043006A"/>
    <w:rsid w:val="00430D00"/>
    <w:rsid w:val="00431554"/>
    <w:rsid w:val="004325F5"/>
    <w:rsid w:val="00432A17"/>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6203"/>
    <w:rsid w:val="00446D02"/>
    <w:rsid w:val="00446E2D"/>
    <w:rsid w:val="00447DB1"/>
    <w:rsid w:val="00451C46"/>
    <w:rsid w:val="00451F67"/>
    <w:rsid w:val="0045294E"/>
    <w:rsid w:val="00453F82"/>
    <w:rsid w:val="00454BCC"/>
    <w:rsid w:val="00455716"/>
    <w:rsid w:val="00456727"/>
    <w:rsid w:val="0045693D"/>
    <w:rsid w:val="00457742"/>
    <w:rsid w:val="00462315"/>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B0C"/>
    <w:rsid w:val="00474F36"/>
    <w:rsid w:val="0047500F"/>
    <w:rsid w:val="0047559F"/>
    <w:rsid w:val="00475C20"/>
    <w:rsid w:val="0047631F"/>
    <w:rsid w:val="00476B52"/>
    <w:rsid w:val="0047762F"/>
    <w:rsid w:val="00477E26"/>
    <w:rsid w:val="00481E44"/>
    <w:rsid w:val="004822A3"/>
    <w:rsid w:val="0048283B"/>
    <w:rsid w:val="00482EEF"/>
    <w:rsid w:val="004831E5"/>
    <w:rsid w:val="00484674"/>
    <w:rsid w:val="00484D91"/>
    <w:rsid w:val="00485660"/>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6FD4"/>
    <w:rsid w:val="00527670"/>
    <w:rsid w:val="00527F7A"/>
    <w:rsid w:val="00532620"/>
    <w:rsid w:val="005341A3"/>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6B9B"/>
    <w:rsid w:val="005476CC"/>
    <w:rsid w:val="005477C1"/>
    <w:rsid w:val="005479E2"/>
    <w:rsid w:val="00547E1E"/>
    <w:rsid w:val="00550B6C"/>
    <w:rsid w:val="005522A0"/>
    <w:rsid w:val="00552576"/>
    <w:rsid w:val="00553804"/>
    <w:rsid w:val="0055516E"/>
    <w:rsid w:val="00556E88"/>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433"/>
    <w:rsid w:val="0059740A"/>
    <w:rsid w:val="005A044D"/>
    <w:rsid w:val="005A0D3E"/>
    <w:rsid w:val="005A0F04"/>
    <w:rsid w:val="005A3B44"/>
    <w:rsid w:val="005A49AD"/>
    <w:rsid w:val="005A53B1"/>
    <w:rsid w:val="005A72B3"/>
    <w:rsid w:val="005A7952"/>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30C90"/>
    <w:rsid w:val="00631543"/>
    <w:rsid w:val="0063427A"/>
    <w:rsid w:val="00634618"/>
    <w:rsid w:val="00635125"/>
    <w:rsid w:val="00636A85"/>
    <w:rsid w:val="00637A05"/>
    <w:rsid w:val="00637FAB"/>
    <w:rsid w:val="00641262"/>
    <w:rsid w:val="0064312E"/>
    <w:rsid w:val="0064490C"/>
    <w:rsid w:val="0064708A"/>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B1C"/>
    <w:rsid w:val="00681BDB"/>
    <w:rsid w:val="0068253D"/>
    <w:rsid w:val="006827A2"/>
    <w:rsid w:val="006827AE"/>
    <w:rsid w:val="00684E03"/>
    <w:rsid w:val="00685427"/>
    <w:rsid w:val="00685734"/>
    <w:rsid w:val="00686102"/>
    <w:rsid w:val="00686F4C"/>
    <w:rsid w:val="00687D47"/>
    <w:rsid w:val="00687E1A"/>
    <w:rsid w:val="00690308"/>
    <w:rsid w:val="00692C87"/>
    <w:rsid w:val="00693633"/>
    <w:rsid w:val="00693BCD"/>
    <w:rsid w:val="00694D8B"/>
    <w:rsid w:val="00695195"/>
    <w:rsid w:val="0069524D"/>
    <w:rsid w:val="0069612E"/>
    <w:rsid w:val="00696C60"/>
    <w:rsid w:val="00697106"/>
    <w:rsid w:val="006A3026"/>
    <w:rsid w:val="006A3DD2"/>
    <w:rsid w:val="006A5DFC"/>
    <w:rsid w:val="006A6C71"/>
    <w:rsid w:val="006B143E"/>
    <w:rsid w:val="006B3D2A"/>
    <w:rsid w:val="006B45E0"/>
    <w:rsid w:val="006B501D"/>
    <w:rsid w:val="006B51E6"/>
    <w:rsid w:val="006B685F"/>
    <w:rsid w:val="006B7277"/>
    <w:rsid w:val="006B7AFA"/>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A23"/>
    <w:rsid w:val="006F6729"/>
    <w:rsid w:val="006F72AA"/>
    <w:rsid w:val="006F7AFC"/>
    <w:rsid w:val="007001AB"/>
    <w:rsid w:val="00700336"/>
    <w:rsid w:val="007034BB"/>
    <w:rsid w:val="007041CA"/>
    <w:rsid w:val="007048BA"/>
    <w:rsid w:val="00705333"/>
    <w:rsid w:val="00705AA3"/>
    <w:rsid w:val="00705D1C"/>
    <w:rsid w:val="00707285"/>
    <w:rsid w:val="00710350"/>
    <w:rsid w:val="00712BB5"/>
    <w:rsid w:val="00712F59"/>
    <w:rsid w:val="00714A88"/>
    <w:rsid w:val="00715DC3"/>
    <w:rsid w:val="007168A8"/>
    <w:rsid w:val="00716B6D"/>
    <w:rsid w:val="00716EAE"/>
    <w:rsid w:val="00720E7C"/>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F5D"/>
    <w:rsid w:val="007540CB"/>
    <w:rsid w:val="007558E8"/>
    <w:rsid w:val="007559FA"/>
    <w:rsid w:val="00755B0B"/>
    <w:rsid w:val="00756091"/>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1C4"/>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75F9"/>
    <w:rsid w:val="007A76A6"/>
    <w:rsid w:val="007B1DD7"/>
    <w:rsid w:val="007B4373"/>
    <w:rsid w:val="007B4986"/>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D7FE8"/>
    <w:rsid w:val="007E1E8A"/>
    <w:rsid w:val="007E2F1E"/>
    <w:rsid w:val="007E5D98"/>
    <w:rsid w:val="007E5DA6"/>
    <w:rsid w:val="007E6E8B"/>
    <w:rsid w:val="007F0509"/>
    <w:rsid w:val="007F0A97"/>
    <w:rsid w:val="007F2AAF"/>
    <w:rsid w:val="007F47E3"/>
    <w:rsid w:val="007F6694"/>
    <w:rsid w:val="007F6948"/>
    <w:rsid w:val="00800E67"/>
    <w:rsid w:val="00801221"/>
    <w:rsid w:val="00801245"/>
    <w:rsid w:val="008023E2"/>
    <w:rsid w:val="008024E9"/>
    <w:rsid w:val="0080395F"/>
    <w:rsid w:val="00804B5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F82"/>
    <w:rsid w:val="00835F80"/>
    <w:rsid w:val="00836201"/>
    <w:rsid w:val="008368A6"/>
    <w:rsid w:val="0083776E"/>
    <w:rsid w:val="008378F9"/>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97E"/>
    <w:rsid w:val="008579EB"/>
    <w:rsid w:val="0086073A"/>
    <w:rsid w:val="008612EE"/>
    <w:rsid w:val="0086184A"/>
    <w:rsid w:val="00861C25"/>
    <w:rsid w:val="008643DC"/>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97F79"/>
    <w:rsid w:val="008A0363"/>
    <w:rsid w:val="008A1BF3"/>
    <w:rsid w:val="008A3423"/>
    <w:rsid w:val="008A34A7"/>
    <w:rsid w:val="008A47DE"/>
    <w:rsid w:val="008A4BBB"/>
    <w:rsid w:val="008A5C53"/>
    <w:rsid w:val="008A601E"/>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A71"/>
    <w:rsid w:val="008F4251"/>
    <w:rsid w:val="008F4456"/>
    <w:rsid w:val="008F5E35"/>
    <w:rsid w:val="00900A54"/>
    <w:rsid w:val="00902A4C"/>
    <w:rsid w:val="00904882"/>
    <w:rsid w:val="00906630"/>
    <w:rsid w:val="00906BD9"/>
    <w:rsid w:val="00910112"/>
    <w:rsid w:val="00911F7D"/>
    <w:rsid w:val="00915C8F"/>
    <w:rsid w:val="00916991"/>
    <w:rsid w:val="00920F38"/>
    <w:rsid w:val="00920F87"/>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546"/>
    <w:rsid w:val="00944805"/>
    <w:rsid w:val="00944826"/>
    <w:rsid w:val="00944886"/>
    <w:rsid w:val="00945857"/>
    <w:rsid w:val="009460DC"/>
    <w:rsid w:val="009465AD"/>
    <w:rsid w:val="00946A0B"/>
    <w:rsid w:val="00946D45"/>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2674"/>
    <w:rsid w:val="009A27F6"/>
    <w:rsid w:val="009A38B0"/>
    <w:rsid w:val="009A411C"/>
    <w:rsid w:val="009A4362"/>
    <w:rsid w:val="009A4574"/>
    <w:rsid w:val="009A4C91"/>
    <w:rsid w:val="009A526F"/>
    <w:rsid w:val="009A7BDB"/>
    <w:rsid w:val="009B0323"/>
    <w:rsid w:val="009B1DF2"/>
    <w:rsid w:val="009B2BB9"/>
    <w:rsid w:val="009B3D66"/>
    <w:rsid w:val="009B6FB4"/>
    <w:rsid w:val="009B72E3"/>
    <w:rsid w:val="009C0AE4"/>
    <w:rsid w:val="009C13EF"/>
    <w:rsid w:val="009C17EA"/>
    <w:rsid w:val="009C1AD9"/>
    <w:rsid w:val="009C1EE0"/>
    <w:rsid w:val="009C2240"/>
    <w:rsid w:val="009C2757"/>
    <w:rsid w:val="009C45EE"/>
    <w:rsid w:val="009C52B0"/>
    <w:rsid w:val="009C5A7F"/>
    <w:rsid w:val="009C6EDD"/>
    <w:rsid w:val="009D05FB"/>
    <w:rsid w:val="009D0D17"/>
    <w:rsid w:val="009D168E"/>
    <w:rsid w:val="009D16C3"/>
    <w:rsid w:val="009D1FAF"/>
    <w:rsid w:val="009D29E1"/>
    <w:rsid w:val="009D2A80"/>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07E5C"/>
    <w:rsid w:val="00A110D6"/>
    <w:rsid w:val="00A1161C"/>
    <w:rsid w:val="00A1224B"/>
    <w:rsid w:val="00A131B9"/>
    <w:rsid w:val="00A13529"/>
    <w:rsid w:val="00A160FE"/>
    <w:rsid w:val="00A1621F"/>
    <w:rsid w:val="00A16470"/>
    <w:rsid w:val="00A16511"/>
    <w:rsid w:val="00A201D0"/>
    <w:rsid w:val="00A205EB"/>
    <w:rsid w:val="00A20BFA"/>
    <w:rsid w:val="00A20DA9"/>
    <w:rsid w:val="00A21C5E"/>
    <w:rsid w:val="00A22F98"/>
    <w:rsid w:val="00A236E1"/>
    <w:rsid w:val="00A23996"/>
    <w:rsid w:val="00A23A2C"/>
    <w:rsid w:val="00A24DBA"/>
    <w:rsid w:val="00A24DF9"/>
    <w:rsid w:val="00A26E38"/>
    <w:rsid w:val="00A274AC"/>
    <w:rsid w:val="00A27553"/>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25B"/>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A0218"/>
    <w:rsid w:val="00AA0AA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2F6E"/>
    <w:rsid w:val="00AD4706"/>
    <w:rsid w:val="00AD48A2"/>
    <w:rsid w:val="00AD5C2D"/>
    <w:rsid w:val="00AE0244"/>
    <w:rsid w:val="00AE13BD"/>
    <w:rsid w:val="00AE20C2"/>
    <w:rsid w:val="00AE3833"/>
    <w:rsid w:val="00AE515B"/>
    <w:rsid w:val="00AE5828"/>
    <w:rsid w:val="00AE5FA8"/>
    <w:rsid w:val="00AE685C"/>
    <w:rsid w:val="00AE6CC1"/>
    <w:rsid w:val="00AE6D6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4885"/>
    <w:rsid w:val="00B36920"/>
    <w:rsid w:val="00B40351"/>
    <w:rsid w:val="00B40B00"/>
    <w:rsid w:val="00B42C49"/>
    <w:rsid w:val="00B44B2E"/>
    <w:rsid w:val="00B4629A"/>
    <w:rsid w:val="00B47084"/>
    <w:rsid w:val="00B514F3"/>
    <w:rsid w:val="00B52071"/>
    <w:rsid w:val="00B52465"/>
    <w:rsid w:val="00B5329E"/>
    <w:rsid w:val="00B55067"/>
    <w:rsid w:val="00B56E67"/>
    <w:rsid w:val="00B60087"/>
    <w:rsid w:val="00B60ACD"/>
    <w:rsid w:val="00B61556"/>
    <w:rsid w:val="00B6214C"/>
    <w:rsid w:val="00B62C02"/>
    <w:rsid w:val="00B65773"/>
    <w:rsid w:val="00B65B95"/>
    <w:rsid w:val="00B67F01"/>
    <w:rsid w:val="00B71668"/>
    <w:rsid w:val="00B72544"/>
    <w:rsid w:val="00B73C4A"/>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4627"/>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8D"/>
    <w:rsid w:val="00BC5843"/>
    <w:rsid w:val="00BD04F7"/>
    <w:rsid w:val="00BD1AAF"/>
    <w:rsid w:val="00BD1B53"/>
    <w:rsid w:val="00BD35BB"/>
    <w:rsid w:val="00BD3CBC"/>
    <w:rsid w:val="00BD3E42"/>
    <w:rsid w:val="00BD4DE5"/>
    <w:rsid w:val="00BD56D8"/>
    <w:rsid w:val="00BE052C"/>
    <w:rsid w:val="00BE1281"/>
    <w:rsid w:val="00BE1F51"/>
    <w:rsid w:val="00BE1FC9"/>
    <w:rsid w:val="00BE20FE"/>
    <w:rsid w:val="00BE5F42"/>
    <w:rsid w:val="00BE7018"/>
    <w:rsid w:val="00BF016A"/>
    <w:rsid w:val="00BF0C5E"/>
    <w:rsid w:val="00BF1002"/>
    <w:rsid w:val="00BF1080"/>
    <w:rsid w:val="00BF1619"/>
    <w:rsid w:val="00BF1CB2"/>
    <w:rsid w:val="00BF229F"/>
    <w:rsid w:val="00BF2737"/>
    <w:rsid w:val="00BF45FF"/>
    <w:rsid w:val="00BF46E3"/>
    <w:rsid w:val="00BF52EB"/>
    <w:rsid w:val="00BF53E0"/>
    <w:rsid w:val="00BF5D45"/>
    <w:rsid w:val="00BF610E"/>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63E8"/>
    <w:rsid w:val="00C26986"/>
    <w:rsid w:val="00C26CAF"/>
    <w:rsid w:val="00C276C0"/>
    <w:rsid w:val="00C31388"/>
    <w:rsid w:val="00C3164E"/>
    <w:rsid w:val="00C358E2"/>
    <w:rsid w:val="00C35939"/>
    <w:rsid w:val="00C35EA7"/>
    <w:rsid w:val="00C37630"/>
    <w:rsid w:val="00C41A05"/>
    <w:rsid w:val="00C42288"/>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DD3"/>
    <w:rsid w:val="00C61D10"/>
    <w:rsid w:val="00C62642"/>
    <w:rsid w:val="00C63631"/>
    <w:rsid w:val="00C63B2F"/>
    <w:rsid w:val="00C65312"/>
    <w:rsid w:val="00C67A16"/>
    <w:rsid w:val="00C715E4"/>
    <w:rsid w:val="00C71B59"/>
    <w:rsid w:val="00C72287"/>
    <w:rsid w:val="00C72FEE"/>
    <w:rsid w:val="00C74F19"/>
    <w:rsid w:val="00C8035D"/>
    <w:rsid w:val="00C80B7A"/>
    <w:rsid w:val="00C81138"/>
    <w:rsid w:val="00C818A9"/>
    <w:rsid w:val="00C81A17"/>
    <w:rsid w:val="00C821E7"/>
    <w:rsid w:val="00C82905"/>
    <w:rsid w:val="00C83786"/>
    <w:rsid w:val="00C83FED"/>
    <w:rsid w:val="00C84D3C"/>
    <w:rsid w:val="00C850B4"/>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9DB"/>
    <w:rsid w:val="00CA79A7"/>
    <w:rsid w:val="00CA7BFF"/>
    <w:rsid w:val="00CA7E6A"/>
    <w:rsid w:val="00CA7FFC"/>
    <w:rsid w:val="00CB0274"/>
    <w:rsid w:val="00CB0B9B"/>
    <w:rsid w:val="00CB112F"/>
    <w:rsid w:val="00CB21DD"/>
    <w:rsid w:val="00CB262A"/>
    <w:rsid w:val="00CB2BF5"/>
    <w:rsid w:val="00CB2FD9"/>
    <w:rsid w:val="00CB3B9B"/>
    <w:rsid w:val="00CB417A"/>
    <w:rsid w:val="00CB47C3"/>
    <w:rsid w:val="00CB4F0B"/>
    <w:rsid w:val="00CB6CB7"/>
    <w:rsid w:val="00CC0EAF"/>
    <w:rsid w:val="00CC1991"/>
    <w:rsid w:val="00CC3E2F"/>
    <w:rsid w:val="00CC53AE"/>
    <w:rsid w:val="00CC6773"/>
    <w:rsid w:val="00CC6FFC"/>
    <w:rsid w:val="00CD0554"/>
    <w:rsid w:val="00CD074A"/>
    <w:rsid w:val="00CD0B4A"/>
    <w:rsid w:val="00CD30BF"/>
    <w:rsid w:val="00CD4E70"/>
    <w:rsid w:val="00CD75A6"/>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C99"/>
    <w:rsid w:val="00CF5D15"/>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2B4"/>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1F71"/>
    <w:rsid w:val="00D52BC5"/>
    <w:rsid w:val="00D5362C"/>
    <w:rsid w:val="00D53A72"/>
    <w:rsid w:val="00D548D7"/>
    <w:rsid w:val="00D5515D"/>
    <w:rsid w:val="00D555AB"/>
    <w:rsid w:val="00D557C9"/>
    <w:rsid w:val="00D57F83"/>
    <w:rsid w:val="00D61EB9"/>
    <w:rsid w:val="00D63335"/>
    <w:rsid w:val="00D63B4E"/>
    <w:rsid w:val="00D647FD"/>
    <w:rsid w:val="00D656D3"/>
    <w:rsid w:val="00D668D8"/>
    <w:rsid w:val="00D66D8F"/>
    <w:rsid w:val="00D66EC9"/>
    <w:rsid w:val="00D6798D"/>
    <w:rsid w:val="00D67F80"/>
    <w:rsid w:val="00D7034C"/>
    <w:rsid w:val="00D71531"/>
    <w:rsid w:val="00D72295"/>
    <w:rsid w:val="00D723B4"/>
    <w:rsid w:val="00D73C08"/>
    <w:rsid w:val="00D743FB"/>
    <w:rsid w:val="00D74696"/>
    <w:rsid w:val="00D7537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2CB3"/>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982"/>
    <w:rsid w:val="00E74C32"/>
    <w:rsid w:val="00E75205"/>
    <w:rsid w:val="00E75294"/>
    <w:rsid w:val="00E75769"/>
    <w:rsid w:val="00E775FC"/>
    <w:rsid w:val="00E85B69"/>
    <w:rsid w:val="00E85D92"/>
    <w:rsid w:val="00E86920"/>
    <w:rsid w:val="00E87350"/>
    <w:rsid w:val="00E8741F"/>
    <w:rsid w:val="00E904C1"/>
    <w:rsid w:val="00E90AFB"/>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6EBD"/>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9F5"/>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79"/>
    <w:rsid w:val="00F30C14"/>
    <w:rsid w:val="00F3150A"/>
    <w:rsid w:val="00F319BD"/>
    <w:rsid w:val="00F31EF9"/>
    <w:rsid w:val="00F3334E"/>
    <w:rsid w:val="00F33379"/>
    <w:rsid w:val="00F333C6"/>
    <w:rsid w:val="00F33C17"/>
    <w:rsid w:val="00F34918"/>
    <w:rsid w:val="00F35D11"/>
    <w:rsid w:val="00F401D8"/>
    <w:rsid w:val="00F40E57"/>
    <w:rsid w:val="00F40EDC"/>
    <w:rsid w:val="00F41C0A"/>
    <w:rsid w:val="00F42A5C"/>
    <w:rsid w:val="00F43040"/>
    <w:rsid w:val="00F430F4"/>
    <w:rsid w:val="00F45AA4"/>
    <w:rsid w:val="00F46F64"/>
    <w:rsid w:val="00F47B7C"/>
    <w:rsid w:val="00F47DBD"/>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48CB"/>
    <w:rsid w:val="00F74C4B"/>
    <w:rsid w:val="00F75B52"/>
    <w:rsid w:val="00F75F67"/>
    <w:rsid w:val="00F77990"/>
    <w:rsid w:val="00F80375"/>
    <w:rsid w:val="00F8102E"/>
    <w:rsid w:val="00F81A52"/>
    <w:rsid w:val="00F82435"/>
    <w:rsid w:val="00F83160"/>
    <w:rsid w:val="00F84C74"/>
    <w:rsid w:val="00F85097"/>
    <w:rsid w:val="00F86654"/>
    <w:rsid w:val="00F908A0"/>
    <w:rsid w:val="00F91145"/>
    <w:rsid w:val="00F91782"/>
    <w:rsid w:val="00F918A1"/>
    <w:rsid w:val="00F9275C"/>
    <w:rsid w:val="00F92920"/>
    <w:rsid w:val="00F92AE2"/>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CD7"/>
    <w:rsid w:val="00FC2C5E"/>
    <w:rsid w:val="00FC32C5"/>
    <w:rsid w:val="00FC46EC"/>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63340270">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583537747">
                                          <w:marLeft w:val="0"/>
                                          <w:marRight w:val="0"/>
                                          <w:marTop w:val="0"/>
                                          <w:marBottom w:val="0"/>
                                          <w:divBdr>
                                            <w:top w:val="none" w:sz="0" w:space="0" w:color="auto"/>
                                            <w:left w:val="none" w:sz="0" w:space="0" w:color="auto"/>
                                            <w:bottom w:val="none" w:sz="0" w:space="0" w:color="auto"/>
                                            <w:right w:val="none" w:sz="0" w:space="0" w:color="auto"/>
                                          </w:divBdr>
                                        </w:div>
                                        <w:div w:id="1227229922">
                                          <w:marLeft w:val="0"/>
                                          <w:marRight w:val="0"/>
                                          <w:marTop w:val="13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052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4922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0.0</c:formatCode>
                <c:ptCount val="2"/>
                <c:pt idx="0">
                  <c:v>39.4</c:v>
                </c:pt>
                <c:pt idx="1">
                  <c:v>183.1</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29.7</c:v>
                </c:pt>
                <c:pt idx="1">
                  <c:v>156.69999999999999</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22.1</c:v>
                </c:pt>
                <c:pt idx="1">
                  <c:v>128.9</c:v>
                </c:pt>
              </c:numCache>
            </c:numRef>
          </c:val>
        </c:ser>
        <c:axId val="166671872"/>
        <c:axId val="166843136"/>
      </c:barChart>
      <c:catAx>
        <c:axId val="166671872"/>
        <c:scaling>
          <c:orientation val="minMax"/>
        </c:scaling>
        <c:axPos val="b"/>
        <c:numFmt formatCode="General" sourceLinked="1"/>
        <c:tickLblPos val="nextTo"/>
        <c:txPr>
          <a:bodyPr rot="0" vert="horz"/>
          <a:lstStyle/>
          <a:p>
            <a:pPr>
              <a:defRPr/>
            </a:pPr>
            <a:endParaRPr lang="ar-SA"/>
          </a:p>
        </c:txPr>
        <c:crossAx val="166843136"/>
        <c:crossesAt val="0"/>
        <c:auto val="1"/>
        <c:lblAlgn val="ctr"/>
        <c:lblOffset val="100"/>
        <c:tickLblSkip val="1"/>
        <c:tickMarkSkip val="1"/>
      </c:catAx>
      <c:valAx>
        <c:axId val="166843136"/>
        <c:scaling>
          <c:orientation val="minMax"/>
          <c:max val="300"/>
          <c:min val="0"/>
        </c:scaling>
        <c:axPos val="l"/>
        <c:title>
          <c:tx>
            <c:rich>
              <a:bodyPr/>
              <a:lstStyle/>
              <a:p>
                <a:pPr>
                  <a:defRPr/>
                </a:pPr>
                <a:r>
                  <a:rPr lang="en-US"/>
                  <a:t>Number in thousands</a:t>
                </a:r>
                <a:endParaRPr lang="ar-JO"/>
              </a:p>
            </c:rich>
          </c:tx>
          <c:layout>
            <c:manualLayout>
              <c:xMode val="edge"/>
              <c:yMode val="edge"/>
              <c:x val="1.1386927806877901E-2"/>
              <c:y val="0.19046564610895739"/>
            </c:manualLayout>
          </c:layout>
        </c:title>
        <c:numFmt formatCode="0" sourceLinked="0"/>
        <c:tickLblPos val="nextTo"/>
        <c:txPr>
          <a:bodyPr rot="0" vert="horz"/>
          <a:lstStyle/>
          <a:p>
            <a:pPr>
              <a:defRPr sz="900"/>
            </a:pPr>
            <a:endParaRPr lang="ar-SA"/>
          </a:p>
        </c:txPr>
        <c:crossAx val="166671872"/>
        <c:crosses val="autoZero"/>
        <c:crossBetween val="between"/>
        <c:majorUnit val="50"/>
        <c:minorUnit val="50"/>
      </c:valAx>
      <c:spPr>
        <a:ln>
          <a:noFill/>
        </a:ln>
      </c:spPr>
    </c:plotArea>
    <c:legend>
      <c:legendPos val="r"/>
      <c:layout>
        <c:manualLayout>
          <c:xMode val="edge"/>
          <c:yMode val="edge"/>
          <c:x val="0.86521679096649018"/>
          <c:y val="3.4409448818897855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392"/>
          <c:w val="0.40895733635178355"/>
          <c:h val="0.76834379790749263"/>
        </c:manualLayout>
      </c:layout>
      <c:pieChart>
        <c:varyColors val="1"/>
        <c:ser>
          <c:idx val="0"/>
          <c:order val="0"/>
          <c:dPt>
            <c:idx val="3"/>
            <c:explosion val="5"/>
          </c:dPt>
          <c:dPt>
            <c:idx val="4"/>
            <c:explosion val="6"/>
          </c:dPt>
          <c:dLbls>
            <c:dLbl>
              <c:idx val="0"/>
              <c:layout>
                <c:manualLayout>
                  <c:x val="5.8411766104242591E-2"/>
                  <c:y val="2.0604039040598068E-2"/>
                </c:manualLayout>
              </c:layout>
              <c:showCatName val="1"/>
              <c:showPercent val="1"/>
            </c:dLbl>
            <c:dLbl>
              <c:idx val="1"/>
              <c:layout>
                <c:manualLayout>
                  <c:x val="-4.4932362211587792E-2"/>
                  <c:y val="-5.2241307175969594E-2"/>
                </c:manualLayout>
              </c:layout>
              <c:showCatName val="1"/>
              <c:showPercent val="1"/>
            </c:dLbl>
            <c:dLbl>
              <c:idx val="2"/>
              <c:layout>
                <c:manualLayout>
                  <c:x val="-0.11273147597867542"/>
                  <c:y val="-8.856969223158118E-3"/>
                </c:manualLayout>
              </c:layout>
              <c:showCatName val="1"/>
              <c:showPercent val="1"/>
            </c:dLbl>
            <c:dLbl>
              <c:idx val="3"/>
              <c:layout>
                <c:manualLayout>
                  <c:x val="0.12893207694609884"/>
                  <c:y val="0"/>
                </c:manualLayout>
              </c:layout>
              <c:showCatName val="1"/>
              <c:showPercent val="1"/>
            </c:dLbl>
            <c:dLbl>
              <c:idx val="4"/>
              <c:layout>
                <c:manualLayout>
                  <c:x val="-1.840450036785847E-2"/>
                  <c:y val="-3.9729244412955805E-2"/>
                </c:manualLayout>
              </c:layout>
              <c:showCatName val="1"/>
              <c:showPercent val="1"/>
            </c:dLbl>
            <c:numFmt formatCode="0.0%" sourceLinked="0"/>
            <c:showCatName val="1"/>
            <c:showPercent val="1"/>
            <c:showLeaderLines val="1"/>
          </c:dLbls>
          <c:cat>
            <c:strRef>
              <c:f>Sheet1!$A$2:$A$6</c:f>
              <c:strCache>
                <c:ptCount val="5"/>
                <c:pt idx="0">
                  <c:v>House</c:v>
                </c:pt>
                <c:pt idx="1">
                  <c:v>Apartment</c:v>
                </c:pt>
                <c:pt idx="2">
                  <c:v>Villa</c:v>
                </c:pt>
                <c:pt idx="3">
                  <c:v>Independent Room</c:v>
                </c:pt>
                <c:pt idx="4">
                  <c:v>Others*</c:v>
                </c:pt>
              </c:strCache>
            </c:strRef>
          </c:cat>
          <c:val>
            <c:numRef>
              <c:f>Sheet1!$B$2:$B$6</c:f>
              <c:numCache>
                <c:formatCode>General</c:formatCode>
                <c:ptCount val="5"/>
                <c:pt idx="0" formatCode="0.0">
                  <c:v>50</c:v>
                </c:pt>
                <c:pt idx="1">
                  <c:v>48.5</c:v>
                </c:pt>
                <c:pt idx="2">
                  <c:v>1.2</c:v>
                </c:pt>
                <c:pt idx="3">
                  <c:v>0.2</c:v>
                </c:pt>
                <c:pt idx="4">
                  <c:v>0.1</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8952"/>
          <c:y val="0.20540211680038803"/>
          <c:w val="0.37872413204835098"/>
          <c:h val="0.67789372231100198"/>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1798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812E-3"/>
                  <c:y val="-6.3391850933973509E-2"/>
                </c:manualLayout>
              </c:layout>
              <c:dLblPos val="bestFit"/>
              <c:showCatName val="1"/>
              <c:showPercent val="1"/>
            </c:dLbl>
            <c:dLbl>
              <c:idx val="3"/>
              <c:layout>
                <c:manualLayout>
                  <c:x val="0.10576198239180362"/>
                  <c:y val="4.6650679431174617E-2"/>
                </c:manualLayout>
              </c:layout>
              <c:dLblPos val="bestFit"/>
              <c:showCatName val="1"/>
              <c:showPercent val="1"/>
            </c:dLbl>
            <c:dLbl>
              <c:idx val="4"/>
              <c:layout>
                <c:manualLayout>
                  <c:x val="2.6314459351140889E-2"/>
                  <c:y val="0.13446381600906621"/>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86.2</c:v>
                </c:pt>
                <c:pt idx="1">
                  <c:v>9.9</c:v>
                </c:pt>
                <c:pt idx="2">
                  <c:v>3.4</c:v>
                </c:pt>
                <c:pt idx="3">
                  <c:v>0.4</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714"/>
          <c:h val="0.7404410790880408"/>
        </c:manualLayout>
      </c:layout>
      <c:pieChart>
        <c:varyColors val="1"/>
        <c:ser>
          <c:idx val="0"/>
          <c:order val="0"/>
          <c:dPt>
            <c:idx val="0"/>
            <c:explosion val="4"/>
          </c:dPt>
          <c:dPt>
            <c:idx val="1"/>
            <c:explosion val="5"/>
          </c:dPt>
          <c:dPt>
            <c:idx val="2"/>
            <c:explosion val="4"/>
          </c:dPt>
          <c:dLbls>
            <c:dLbl>
              <c:idx val="0"/>
              <c:layout>
                <c:manualLayout>
                  <c:x val="-0.25050237586305213"/>
                  <c:y val="0"/>
                </c:manualLayout>
              </c:layout>
              <c:showCatName val="1"/>
              <c:showPercent val="1"/>
            </c:dLbl>
            <c:dLbl>
              <c:idx val="1"/>
              <c:layout>
                <c:manualLayout>
                  <c:x val="8.5355048772148612E-2"/>
                  <c:y val="-2.321557142701498E-2"/>
                </c:manualLayout>
              </c:layout>
              <c:showCatName val="1"/>
              <c:showPercent val="1"/>
            </c:dLbl>
            <c:dLbl>
              <c:idx val="2"/>
              <c:layout>
                <c:manualLayout>
                  <c:x val="0.10176037892531191"/>
                  <c:y val="-6.1678109260496355E-2"/>
                </c:manualLayout>
              </c:layout>
              <c:showCatName val="1"/>
              <c:showPercent val="1"/>
            </c:dLbl>
            <c:dLbl>
              <c:idx val="3"/>
              <c:layout>
                <c:manualLayout>
                  <c:x val="-9.7368695877738581E-2"/>
                  <c:y val="0"/>
                </c:manualLayout>
              </c:layout>
              <c:showCatName val="1"/>
              <c:showPercent val="1"/>
            </c:dLbl>
            <c:numFmt formatCode="0.0%" sourceLinked="0"/>
            <c:showCatName val="1"/>
            <c:showPercent val="1"/>
            <c:showLeaderLines val="1"/>
          </c:dLbls>
          <c:cat>
            <c:strRef>
              <c:f>Sheet1!$A$2:$A$5</c:f>
              <c:strCache>
                <c:ptCount val="4"/>
                <c:pt idx="0">
                  <c:v>Others*</c:v>
                </c:pt>
                <c:pt idx="1">
                  <c:v>Flush to Septik Porous Tank </c:v>
                </c:pt>
                <c:pt idx="2">
                  <c:v>Flush to Septik Tight Tank </c:v>
                </c:pt>
                <c:pt idx="3">
                  <c:v>Flush to Piped Sewer System</c:v>
                </c:pt>
              </c:strCache>
            </c:strRef>
          </c:cat>
          <c:val>
            <c:numRef>
              <c:f>Sheet1!$B$2:$B$5</c:f>
              <c:numCache>
                <c:formatCode>General</c:formatCode>
                <c:ptCount val="4"/>
                <c:pt idx="0">
                  <c:v>0.1</c:v>
                </c:pt>
                <c:pt idx="1">
                  <c:v>10.1</c:v>
                </c:pt>
                <c:pt idx="2">
                  <c:v>42.1</c:v>
                </c:pt>
                <c:pt idx="3">
                  <c:v>47.7</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A358C-C956-4F10-BB01-FE86B044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1</Pages>
  <Words>6211</Words>
  <Characters>35405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subject/>
  <dc:creator>mufid</dc:creator>
  <cp:keywords/>
  <dc:description/>
  <cp:lastModifiedBy> </cp:lastModifiedBy>
  <cp:revision>2</cp:revision>
  <cp:lastPrinted>2019-12-09T10:36:00Z</cp:lastPrinted>
  <dcterms:created xsi:type="dcterms:W3CDTF">2018-07-17T11:18:00Z</dcterms:created>
  <dcterms:modified xsi:type="dcterms:W3CDTF">2019-12-09T10:42:00Z</dcterms:modified>
</cp:coreProperties>
</file>